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A17BD" w:rsidRDefault="004A17BD">
      <w:pPr>
        <w:pStyle w:val="Ttulo1"/>
      </w:pPr>
    </w:p>
    <w:p w:rsidR="004A17BD" w:rsidRDefault="004A17BD">
      <w:pPr>
        <w:pStyle w:val="Ttulo1"/>
      </w:pPr>
    </w:p>
    <w:p w:rsidR="004A17BD" w:rsidRDefault="00745C85">
      <w:pPr>
        <w:pStyle w:val="Ttulo1"/>
      </w:pPr>
      <w:r>
        <w:t>Protocolo para Monitoramento do Alcance das Metas Nacionais da Biodiversidade – Estratégia para Calibração dos Pesos</w:t>
      </w:r>
    </w:p>
    <w:p w:rsidR="004A17BD" w:rsidRDefault="00745C85">
      <w:pPr>
        <w:pStyle w:val="Ttulo1"/>
      </w:pPr>
      <w:r>
        <w:t>Objetivo Estratégico C – Meta11 – Representação Ecológica</w:t>
      </w:r>
    </w:p>
    <w:p w:rsidR="004A17BD" w:rsidRDefault="004A17BD"/>
    <w:p w:rsidR="004A17BD" w:rsidRDefault="00745C85">
      <w:r>
        <w:rPr>
          <w:rFonts w:ascii="Calibri" w:eastAsia="Calibri" w:hAnsi="Calibri" w:cs="Calibri"/>
          <w:b/>
          <w:color w:val="4F81BD"/>
          <w:sz w:val="26"/>
          <w:szCs w:val="26"/>
        </w:rPr>
        <w:t>Produto 3: Relatório contendo os resultados finais, a partir da validação realizada em reunião técnica</w:t>
      </w:r>
    </w:p>
    <w:p w:rsidR="004A17BD" w:rsidRDefault="004A17BD"/>
    <w:p w:rsidR="004A17BD" w:rsidRDefault="004A17BD"/>
    <w:p w:rsidR="004A17BD" w:rsidRDefault="00745C85">
      <w:r>
        <w:t>Projeto Consolidação do Sistema Nacional de Unidades de Conservação</w:t>
      </w:r>
    </w:p>
    <w:p w:rsidR="004A17BD" w:rsidRDefault="00745C85">
      <w:r>
        <w:t>SNUC – LifeWeb</w:t>
      </w:r>
    </w:p>
    <w:p w:rsidR="004A17BD" w:rsidRDefault="004A17BD"/>
    <w:p w:rsidR="004A17BD" w:rsidRDefault="004A17BD"/>
    <w:p w:rsidR="004A17BD" w:rsidRDefault="004A17BD"/>
    <w:p w:rsidR="004A17BD" w:rsidRDefault="00745C85">
      <w:r>
        <w:t>WWF-Brasil</w:t>
      </w:r>
    </w:p>
    <w:p w:rsidR="004A17BD" w:rsidRDefault="00745C85">
      <w:r>
        <w:t>Laboratório de Ecologia da Paisagem</w:t>
      </w:r>
    </w:p>
    <w:p w:rsidR="004A17BD" w:rsidRDefault="004A17BD"/>
    <w:p w:rsidR="004A17BD" w:rsidRDefault="004A17BD"/>
    <w:p w:rsidR="004A17BD" w:rsidRDefault="00745C85">
      <w:r>
        <w:t xml:space="preserve">Equipe técnica: </w:t>
      </w:r>
      <w:r>
        <w:t>Paula Hanna Valdujo</w:t>
      </w:r>
    </w:p>
    <w:p w:rsidR="004A17BD" w:rsidRDefault="00745C85">
      <w:r>
        <w:tab/>
      </w:r>
      <w:r>
        <w:tab/>
        <w:t xml:space="preserve">   Mariana Napolitano</w:t>
      </w:r>
    </w:p>
    <w:p w:rsidR="004A17BD" w:rsidRDefault="00745C85">
      <w:r>
        <w:tab/>
      </w:r>
      <w:r>
        <w:tab/>
        <w:t xml:space="preserve">   João Paulo Fernandes Márcico Ribeiro</w:t>
      </w:r>
    </w:p>
    <w:p w:rsidR="004A17BD" w:rsidRDefault="00745C85">
      <w:r>
        <w:tab/>
      </w:r>
      <w:r>
        <w:tab/>
        <w:t xml:space="preserve">   </w:t>
      </w:r>
    </w:p>
    <w:p w:rsidR="004A17BD" w:rsidRDefault="004A17BD"/>
    <w:p w:rsidR="004A17BD" w:rsidRDefault="004A17BD"/>
    <w:p w:rsidR="004A17BD" w:rsidRDefault="004A17BD"/>
    <w:p w:rsidR="004A17BD" w:rsidRDefault="004A17BD"/>
    <w:p w:rsidR="004A17BD" w:rsidRDefault="00745C85">
      <w:r>
        <w:br w:type="page"/>
      </w:r>
    </w:p>
    <w:p w:rsidR="004A17BD" w:rsidRDefault="004A17BD"/>
    <w:p w:rsidR="004A17BD" w:rsidRDefault="00745C85">
      <w:pPr>
        <w:pStyle w:val="Ttulo1"/>
      </w:pPr>
      <w:r>
        <w:t>Apresentação</w:t>
      </w:r>
    </w:p>
    <w:p w:rsidR="004A17BD" w:rsidRDefault="004A17BD"/>
    <w:p w:rsidR="004A17BD" w:rsidRDefault="00745C85">
      <w:pPr>
        <w:jc w:val="both"/>
      </w:pPr>
      <w:r>
        <w:t>Este documento apresenta as análises e os resultados da avaliação da representação ecológica de áreas sob diferentes regimes de proteção, com o objetivo de integrar essas informações ao protocolo para avaliação e monitoramento da representação ecológica, v</w:t>
      </w:r>
      <w:r>
        <w:t>isando o acompanhamento do alcance da Meta 11. O estado da Bahia foi utilizado como área de estudo piloto, pela disponibilidade de bases de dados de biodiversidade recentes e sistematizados.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Primeiramente, foi realizado um workshop com gestores e analista</w:t>
      </w:r>
      <w:r>
        <w:t>s do Ministério do Meio Ambiente no dia 23 de setembro de 2016 para definir a estratégia do estudo, e os resultados apresentados neste relatório estão de acordo com a abordagem validada. Foi definido que: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1.  A análise de representação ecológica será feit</w:t>
      </w:r>
      <w:r>
        <w:t xml:space="preserve">a para as áreas sob cada regime de proteção separadamente e de forma aditiva, dos regimes que apresentam maior restrição e/ou governança para os de menor restrição e/ou governança. 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2. Não serão atribuídos pesos diferenciados para áreas sob diferentes reg</w:t>
      </w:r>
      <w:r>
        <w:t>imes de proteção, devido à falta de consenso neste tópico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 xml:space="preserve">3. Serão atribuídos pesos diferentes em função do tamanho dos remanescentes de vegetação natural dentro de cada área, de modo que áreas altamente fragmentadas contribuirão menos para o cumprimento </w:t>
      </w:r>
      <w:r>
        <w:t>das metas de conservação em comparação a áreas de maior integridade.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Durante workshop com gestores e analistas do MMA e representantes de instituições parceiras realizado no dia 24 de outubro de 2016 foram avaliados os resultados e sugeriram as seguinte a</w:t>
      </w:r>
      <w:r>
        <w:t>lterações / aprimoramentos: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1. Subdividir as APAs por propriedade para avaliar a cobertura dentro e fora das APAs</w:t>
      </w:r>
    </w:p>
    <w:p w:rsidR="004A17BD" w:rsidRDefault="00745C85">
      <w:pPr>
        <w:jc w:val="both"/>
      </w:pPr>
      <w:r>
        <w:t>2. Incluir um índice de conectividade que leve em conta a configuração da paisagem, não apenas o tamanho dos fragmentos</w:t>
      </w:r>
    </w:p>
    <w:p w:rsidR="004A17BD" w:rsidRDefault="00745C85">
      <w:pPr>
        <w:jc w:val="both"/>
      </w:pPr>
      <w:r>
        <w:t>3. Avaliar a contribu</w:t>
      </w:r>
      <w:r>
        <w:t>ição dos diferentes regimes de gestão por bioma</w:t>
      </w:r>
    </w:p>
    <w:p w:rsidR="004A17BD" w:rsidRDefault="00745C85">
      <w:pPr>
        <w:jc w:val="both"/>
      </w:pPr>
      <w:r>
        <w:t>4. Avaliar se a cobertura de RPPNs que consta no CNUC é representativa.</w:t>
      </w:r>
    </w:p>
    <w:p w:rsidR="004A17BD" w:rsidRDefault="004A17BD">
      <w:pPr>
        <w:jc w:val="both"/>
      </w:pPr>
    </w:p>
    <w:p w:rsidR="00B62537" w:rsidRDefault="00B62537">
      <w:pPr>
        <w:jc w:val="both"/>
      </w:pPr>
    </w:p>
    <w:p w:rsidR="004A17BD" w:rsidRDefault="00745C85">
      <w:pPr>
        <w:pStyle w:val="Ttulo1"/>
      </w:pPr>
      <w:r>
        <w:t>Metodologia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lastRenderedPageBreak/>
        <w:t>As seguintes bases de dados foram utilizadas:</w:t>
      </w:r>
    </w:p>
    <w:p w:rsidR="004A17BD" w:rsidRDefault="00745C85">
      <w:pPr>
        <w:jc w:val="both"/>
      </w:pPr>
      <w:r>
        <w:t>- Mapa de Unidades de Conservação da Bahia (fonte: CNUC)</w:t>
      </w:r>
    </w:p>
    <w:p w:rsidR="004A17BD" w:rsidRDefault="00745C85">
      <w:pPr>
        <w:jc w:val="both"/>
      </w:pPr>
      <w:r>
        <w:t>- Mapa de Terras In</w:t>
      </w:r>
      <w:r>
        <w:t>dígenas da Bahia (fonte: FUNAI)</w:t>
      </w:r>
    </w:p>
    <w:p w:rsidR="004A17BD" w:rsidRDefault="00745C85">
      <w:pPr>
        <w:jc w:val="both"/>
      </w:pPr>
      <w:r>
        <w:t>- Mapa de Territórios Quilombolas da Bahia (fonte: INCRA)</w:t>
      </w:r>
    </w:p>
    <w:p w:rsidR="004A17BD" w:rsidRDefault="00745C85">
      <w:pPr>
        <w:jc w:val="both"/>
      </w:pPr>
      <w:r>
        <w:t>- Mapa fundiário da Bahia (fonte: INCRA)</w:t>
      </w:r>
    </w:p>
    <w:p w:rsidR="004A17BD" w:rsidRDefault="00745C85">
      <w:pPr>
        <w:jc w:val="both"/>
      </w:pPr>
      <w:r>
        <w:t xml:space="preserve">- Mapa de vegetação natural da Bahia (fonte: MMA, Fundação SOS Mata Atlântica e Veracel) </w:t>
      </w:r>
    </w:p>
    <w:p w:rsidR="004A17BD" w:rsidRDefault="00745C85">
      <w:pPr>
        <w:jc w:val="both"/>
      </w:pPr>
      <w:r>
        <w:t xml:space="preserve">- Mapa de unidades de planejamento </w:t>
      </w:r>
      <w:r>
        <w:t>utilizado no estudo de áreas prioritárias para conservação no estado da Bahia (fonte: WWF-Brasil / SEMA-BA)</w:t>
      </w:r>
    </w:p>
    <w:p w:rsidR="004A17BD" w:rsidRDefault="00745C85">
      <w:pPr>
        <w:jc w:val="both"/>
      </w:pPr>
      <w:r>
        <w:t>- Mapas de distribuição de espécies de plantas, peixes, anfíbios, répteis, aves e mamíferos do estado (fonte: WWF-Brasil / SEMA-BA)</w:t>
      </w:r>
    </w:p>
    <w:p w:rsidR="004A17BD" w:rsidRDefault="00745C85">
      <w:pPr>
        <w:jc w:val="both"/>
      </w:pPr>
      <w:r>
        <w:t>- Modelo Digital</w:t>
      </w:r>
      <w:r>
        <w:t xml:space="preserve"> de Elevação do estado da Bahia corrigido (fonte: UFRGS) </w:t>
      </w:r>
    </w:p>
    <w:p w:rsidR="004A17BD" w:rsidRDefault="00745C85">
      <w:pPr>
        <w:jc w:val="both"/>
      </w:pPr>
      <w:r>
        <w:t xml:space="preserve">- Mapa de Declividade do estado da Bahia (fonte: CPRM) </w:t>
      </w:r>
    </w:p>
    <w:p w:rsidR="004A17BD" w:rsidRDefault="004A17BD">
      <w:pPr>
        <w:jc w:val="both"/>
      </w:pPr>
    </w:p>
    <w:p w:rsidR="004A17BD" w:rsidRDefault="00745C85">
      <w:pPr>
        <w:pStyle w:val="Ttulo2"/>
        <w:jc w:val="both"/>
      </w:pPr>
      <w:bookmarkStart w:id="0" w:name="_thw8vbra1qbv" w:colFirst="0" w:colLast="0"/>
      <w:bookmarkEnd w:id="0"/>
      <w:r>
        <w:t>Processamento:</w:t>
      </w:r>
    </w:p>
    <w:p w:rsidR="004A17BD" w:rsidRDefault="004A17BD">
      <w:pPr>
        <w:jc w:val="both"/>
      </w:pPr>
    </w:p>
    <w:p w:rsidR="004A17BD" w:rsidRDefault="00745C85">
      <w:pPr>
        <w:pStyle w:val="Ttulo3"/>
        <w:contextualSpacing w:val="0"/>
        <w:jc w:val="both"/>
      </w:pPr>
      <w:bookmarkStart w:id="1" w:name="_sqoofc6cd8ti" w:colFirst="0" w:colLast="0"/>
      <w:bookmarkEnd w:id="1"/>
      <w:r>
        <w:t>Fundiário: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Em primeiro lugar, foi gerado um mapa fundiário consolidando todas as informações (UC, TI, Quilombolas, propriedade particulares). Devido à grande quantidade de erros de topologia nos dados fundiários do INCRA e a indisponibilidade dos dados do CAR / CEFIR</w:t>
      </w:r>
      <w:r>
        <w:t xml:space="preserve"> as propriedades foram simuladas por bioma, utilizando o tamanho médio das propriedades para as quais os dados estavam disponíveis. Para o Cerrado e Caatinga foi utilizado um valor aproximado de 1000 hectares e para a Mata Atlântica, 300 hectares.</w:t>
      </w:r>
    </w:p>
    <w:p w:rsidR="004A17BD" w:rsidRDefault="004A17BD">
      <w:pPr>
        <w:jc w:val="both"/>
      </w:pPr>
    </w:p>
    <w:p w:rsidR="004A17BD" w:rsidRDefault="00745C85">
      <w:pPr>
        <w:jc w:val="center"/>
      </w:pPr>
      <w:r>
        <w:rPr>
          <w:noProof/>
        </w:rPr>
        <w:drawing>
          <wp:inline distT="114300" distB="114300" distL="114300" distR="114300">
            <wp:extent cx="4378301" cy="2757488"/>
            <wp:effectExtent l="0" t="0" r="0" b="0"/>
            <wp:docPr id="1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8301" cy="2757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17BD" w:rsidRDefault="00745C85">
      <w:pPr>
        <w:jc w:val="both"/>
      </w:pPr>
      <w:r>
        <w:rPr>
          <w:b/>
        </w:rPr>
        <w:lastRenderedPageBreak/>
        <w:t>Figur</w:t>
      </w:r>
      <w:r>
        <w:rPr>
          <w:b/>
        </w:rPr>
        <w:t>a 1:</w:t>
      </w:r>
      <w:r>
        <w:t xml:space="preserve"> Mapa fundiário do Estado da Bahia utilizado para a análise de representação ecológica.</w:t>
      </w:r>
    </w:p>
    <w:p w:rsidR="004A17BD" w:rsidRDefault="004A17BD">
      <w:pPr>
        <w:jc w:val="both"/>
      </w:pPr>
    </w:p>
    <w:p w:rsidR="004A17BD" w:rsidRDefault="00745C85">
      <w:pPr>
        <w:pStyle w:val="Ttulo3"/>
        <w:contextualSpacing w:val="0"/>
        <w:jc w:val="both"/>
      </w:pPr>
      <w:bookmarkStart w:id="2" w:name="_p99n4r5efxi9" w:colFirst="0" w:colLast="0"/>
      <w:bookmarkEnd w:id="2"/>
      <w:r>
        <w:t>APP e Reservas Legais: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Para cada propriedade foi quantificada a área de APP, considerando os critérios de nascentes, margens de rios, veredas, lagoas, declividade</w:t>
      </w:r>
      <w:r>
        <w:t xml:space="preserve"> e altitude. Em seguida foi calculada a área adicional necessária para cumprir os 20% de reserva legal por propriedade simulada. Para cada propriedade foi registrado o passivo (caso não haja 20% de vegetação natural) ou o ativo (caso a cobertura de vegetaç</w:t>
      </w:r>
      <w:r>
        <w:t>ão natural seja maior que 20% fora de APP).</w:t>
      </w:r>
    </w:p>
    <w:p w:rsidR="004A17BD" w:rsidRDefault="004A17BD">
      <w:pPr>
        <w:jc w:val="both"/>
      </w:pPr>
    </w:p>
    <w:p w:rsidR="004A17BD" w:rsidRDefault="00745C85">
      <w:pPr>
        <w:jc w:val="center"/>
      </w:pPr>
      <w:r>
        <w:rPr>
          <w:noProof/>
        </w:rPr>
        <w:drawing>
          <wp:inline distT="114300" distB="114300" distL="114300" distR="114300">
            <wp:extent cx="4150790" cy="2471738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0790" cy="2471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17BD" w:rsidRDefault="00745C85">
      <w:pPr>
        <w:jc w:val="both"/>
      </w:pPr>
      <w:r>
        <w:rPr>
          <w:b/>
        </w:rPr>
        <w:t>Figura 2:</w:t>
      </w:r>
      <w:r>
        <w:t xml:space="preserve"> Mapa parcial de propriedades rurais simuladas, com indicação das APPs.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 xml:space="preserve">Esses valores (total de ativos e total de passivos) foram então somados transferidos para as unidades de planejamento (microbacias).  </w:t>
      </w:r>
    </w:p>
    <w:p w:rsidR="004A17BD" w:rsidRDefault="004A17BD">
      <w:pPr>
        <w:jc w:val="both"/>
      </w:pPr>
    </w:p>
    <w:p w:rsidR="004A17BD" w:rsidRDefault="004A17BD">
      <w:pPr>
        <w:jc w:val="center"/>
      </w:pPr>
    </w:p>
    <w:p w:rsidR="004A17BD" w:rsidRDefault="00745C85">
      <w:pPr>
        <w:pStyle w:val="Ttulo3"/>
        <w:contextualSpacing w:val="0"/>
        <w:jc w:val="both"/>
      </w:pPr>
      <w:bookmarkStart w:id="3" w:name="_6gnb85bmu1lx" w:colFirst="0" w:colLast="0"/>
      <w:bookmarkEnd w:id="3"/>
      <w:r>
        <w:lastRenderedPageBreak/>
        <w:t>Ponderação pelo tamanho do fragmento:</w:t>
      </w:r>
    </w:p>
    <w:p w:rsidR="004A17BD" w:rsidRDefault="00745C85">
      <w:pPr>
        <w:jc w:val="center"/>
      </w:pPr>
      <w:r>
        <w:rPr>
          <w:noProof/>
        </w:rPr>
        <w:drawing>
          <wp:inline distT="114300" distB="114300" distL="114300" distR="114300">
            <wp:extent cx="4872038" cy="2095500"/>
            <wp:effectExtent l="0" t="0" r="0" b="0"/>
            <wp:docPr id="1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17BD" w:rsidRDefault="00745C85">
      <w:pPr>
        <w:jc w:val="both"/>
      </w:pPr>
      <w:r>
        <w:rPr>
          <w:b/>
        </w:rPr>
        <w:t>Figura 3:</w:t>
      </w:r>
      <w:r>
        <w:t xml:space="preserve"> Arranjos hipotéticos de remanescentes de vegetação natural com mesma </w:t>
      </w:r>
      <w:r>
        <w:t>cobertura, indicando uma condição de alta conectividade com maior potencial de persistência para os alvos de biodiversidade e outra condição de alto grau de fragmentação, com baixo potencial para conservação a longo prazo dos alvos. Na análise de ponderaçã</w:t>
      </w:r>
      <w:r>
        <w:t xml:space="preserve">o por tamanho de fragmento, casos como o da esquerda receberão peso maior que casos como o da direita, ainda que a cobertura seja a mesma. 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1) Para obter o mapa de vegetação com o tamanho dos fragmentos ponderados, foi calculada a área de cada fragmento e</w:t>
      </w:r>
      <w:r>
        <w:t xml:space="preserve"> elas foram classificadas entre 10 categorias de extensão, utilizando o critério de “natural breaks”, de 0,1 a 1,0 (=pesos). </w:t>
      </w:r>
    </w:p>
    <w:p w:rsidR="004A17BD" w:rsidRDefault="00745C85">
      <w:pPr>
        <w:jc w:val="both"/>
      </w:pPr>
      <w:r>
        <w:t>2) O mapa de vegetação contendo os pesos foi cruzado com o mapa fundiário para que fosse possível calcular a cobertura de vegetaçã</w:t>
      </w:r>
      <w:r>
        <w:t>o natural de cada área protegida ou propriedade.</w:t>
      </w:r>
    </w:p>
    <w:p w:rsidR="004A17BD" w:rsidRDefault="00745C85">
      <w:pPr>
        <w:jc w:val="both"/>
      </w:pPr>
      <w:r>
        <w:t>3) Para cada área protegida ou propriedade, a extensão de vegetação natural foi multiplicada pelo peso nas seguintes classes: APP, RL adicional, ativo (caso a propriedade tenha mais de 20% de vegetação natural).</w:t>
      </w:r>
    </w:p>
    <w:p w:rsidR="004A17BD" w:rsidRDefault="00745C85">
      <w:pPr>
        <w:jc w:val="both"/>
      </w:pPr>
      <w:r>
        <w:t>4) Esse mapa foi consolidado com as Unidades</w:t>
      </w:r>
      <w:r>
        <w:t xml:space="preserve"> de Planejamento </w:t>
      </w:r>
    </w:p>
    <w:p w:rsidR="004A17BD" w:rsidRDefault="00745C85">
      <w:pPr>
        <w:jc w:val="both"/>
      </w:pPr>
      <w:r>
        <w:t>5) As unidades de planejamento foram subdivididas por bioma: Cerrado, Caatinga e Mata Atlântica para cálculo dos indicadores.</w:t>
      </w:r>
    </w:p>
    <w:p w:rsidR="004A17BD" w:rsidRDefault="004A17BD">
      <w:pPr>
        <w:jc w:val="both"/>
      </w:pPr>
    </w:p>
    <w:p w:rsidR="004A17BD" w:rsidRDefault="004A17BD">
      <w:pPr>
        <w:jc w:val="center"/>
      </w:pPr>
    </w:p>
    <w:p w:rsidR="004A17BD" w:rsidRDefault="00745C85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740680" cy="3138488"/>
            <wp:effectExtent l="0" t="0" r="0" b="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0680" cy="3138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17BD" w:rsidRDefault="00745C85">
      <w:pPr>
        <w:jc w:val="both"/>
      </w:pPr>
      <w:r>
        <w:rPr>
          <w:b/>
        </w:rPr>
        <w:t>Figura 4:</w:t>
      </w:r>
      <w:r>
        <w:t xml:space="preserve"> Tabela de atributos do shape de fundiário consolidado por microbacia, indicando a quantidade de ve</w:t>
      </w:r>
      <w:r>
        <w:t xml:space="preserve">getação natural bruta e ponderada nos diferentes regimes de proteção dentro de cada microbacia. </w:t>
      </w:r>
    </w:p>
    <w:p w:rsidR="004A17BD" w:rsidRDefault="004A17BD">
      <w:pPr>
        <w:jc w:val="center"/>
      </w:pPr>
    </w:p>
    <w:p w:rsidR="004A17BD" w:rsidRDefault="00745C85">
      <w:pPr>
        <w:pStyle w:val="Ttulo3"/>
        <w:contextualSpacing w:val="0"/>
        <w:jc w:val="both"/>
      </w:pPr>
      <w:bookmarkStart w:id="4" w:name="_h4lxpmz9faom" w:colFirst="0" w:colLast="0"/>
      <w:bookmarkEnd w:id="4"/>
      <w:r>
        <w:t>Análise de representação ecológica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 xml:space="preserve">O mapa fundiário com extensão de vegetação ponderada foi cruzado com os mapas de distribuição de 110 espécies de aves, 70 </w:t>
      </w:r>
      <w:r>
        <w:t>anfíbios, 55 répteis, 95 peixes e 39 mamíferos, obtidos durante o processo de definição das áreas prioritárias para conservação no estado da Bahia. A partir desse cruzamento foram calculados os seguintes parâmetros:</w:t>
      </w:r>
    </w:p>
    <w:p w:rsidR="004A17BD" w:rsidRDefault="00745C85">
      <w:pPr>
        <w:jc w:val="both"/>
      </w:pPr>
      <w:r>
        <w:t>- Área total de distribuição da espécie</w:t>
      </w:r>
    </w:p>
    <w:p w:rsidR="004A17BD" w:rsidRDefault="00745C85">
      <w:pPr>
        <w:jc w:val="both"/>
      </w:pPr>
      <w:r>
        <w:t>- Área total ponderada</w:t>
      </w:r>
    </w:p>
    <w:p w:rsidR="004A17BD" w:rsidRDefault="00745C85">
      <w:pPr>
        <w:jc w:val="both"/>
      </w:pPr>
      <w:r>
        <w:t>- Área em reserva legal + APP</w:t>
      </w:r>
    </w:p>
    <w:p w:rsidR="004A17BD" w:rsidRDefault="00745C85">
      <w:pPr>
        <w:jc w:val="both"/>
      </w:pPr>
      <w:r>
        <w:t>- Área em território quilombola</w:t>
      </w:r>
    </w:p>
    <w:p w:rsidR="004A17BD" w:rsidRDefault="00745C85">
      <w:pPr>
        <w:jc w:val="both"/>
      </w:pPr>
      <w:r>
        <w:t>- Área em terras indígenas</w:t>
      </w:r>
    </w:p>
    <w:p w:rsidR="004A17BD" w:rsidRDefault="00745C85">
      <w:pPr>
        <w:jc w:val="both"/>
      </w:pPr>
      <w:r>
        <w:t>- Área em APAs</w:t>
      </w:r>
    </w:p>
    <w:p w:rsidR="004A17BD" w:rsidRDefault="00745C85">
      <w:pPr>
        <w:jc w:val="both"/>
      </w:pPr>
      <w:r>
        <w:t xml:space="preserve">- Área em UCUS (exceto APA) </w:t>
      </w:r>
    </w:p>
    <w:p w:rsidR="004A17BD" w:rsidRDefault="00745C85">
      <w:pPr>
        <w:jc w:val="both"/>
      </w:pPr>
      <w:r>
        <w:t>- Área em UCPI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Em seguida, utilizando-se as metas de conservação definidas durante o processo de id</w:t>
      </w:r>
      <w:r>
        <w:t>entificação de áreas prioritárias, foi calculada a contribuição de cada regime de gestão para cumprimento da meta em dois cenários: com e sem a ponderação.</w:t>
      </w:r>
    </w:p>
    <w:p w:rsidR="004A17BD" w:rsidRDefault="004A17BD">
      <w:pPr>
        <w:jc w:val="both"/>
      </w:pPr>
    </w:p>
    <w:p w:rsidR="004A17BD" w:rsidRDefault="004A17BD">
      <w:pPr>
        <w:jc w:val="both"/>
      </w:pPr>
    </w:p>
    <w:p w:rsidR="004A17BD" w:rsidRDefault="00745C85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671888" cy="2390552"/>
            <wp:effectExtent l="0" t="0" r="0" b="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1888" cy="2390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17BD" w:rsidRDefault="00745C85">
      <w:pPr>
        <w:jc w:val="both"/>
      </w:pPr>
      <w:r>
        <w:rPr>
          <w:b/>
        </w:rPr>
        <w:t>Figura 5:</w:t>
      </w:r>
      <w:r>
        <w:t xml:space="preserve"> Mapa indicando o processo de cruzamento dos polígonos de distribuição potencial das es</w:t>
      </w:r>
      <w:r>
        <w:t xml:space="preserve">pécies (neste exemplo, a tiriba-grande </w:t>
      </w:r>
      <w:r>
        <w:rPr>
          <w:i/>
        </w:rPr>
        <w:t>Pyrrhura cruentata</w:t>
      </w:r>
      <w:r>
        <w:t>)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t>Os mesmos indicadores foram avaliados para o estado como um todo e para os três biomas que o cobrem: Cerrado, Caatinga e Mata Atlântica, para avaliar o efeito da ponderação em regiões com diferent</w:t>
      </w:r>
      <w:r>
        <w:t xml:space="preserve">es características em relação ao desmatamento. </w:t>
      </w:r>
    </w:p>
    <w:p w:rsidR="004A17BD" w:rsidRDefault="00745C85">
      <w:pPr>
        <w:pStyle w:val="Ttulo1"/>
        <w:jc w:val="both"/>
      </w:pPr>
      <w:bookmarkStart w:id="5" w:name="_m3fwqf9iinof" w:colFirst="0" w:colLast="0"/>
      <w:bookmarkEnd w:id="5"/>
      <w:r>
        <w:t>Resultados:</w:t>
      </w:r>
    </w:p>
    <w:p w:rsidR="004A17BD" w:rsidRDefault="00745C85">
      <w:pPr>
        <w:jc w:val="both"/>
      </w:pPr>
      <w:r>
        <w:t xml:space="preserve"> </w:t>
      </w:r>
    </w:p>
    <w:p w:rsidR="004A17BD" w:rsidRDefault="00745C85">
      <w:pPr>
        <w:jc w:val="both"/>
      </w:pPr>
      <w:r>
        <w:t>A tabela 1 e a figura 6 descrevem a contribuição dos diferentes regimes de proteção em relação à área total, área de vegetação natural e vegetação natural ponderada pelo tamanho dos fragmentos. Ao aplicar a ponderação, as os regimes de proteção que tiveram</w:t>
      </w:r>
      <w:r>
        <w:t xml:space="preserve"> maior perda no potencial de contribuição para conservação foram as reservas legais (36,31% de perda), seguidas pelas Terras Indígenas (31,44%) e UCs de Uso Sustentável, exceto APA (20,76%).</w:t>
      </w:r>
    </w:p>
    <w:p w:rsidR="004A17BD" w:rsidRDefault="004A17BD">
      <w:pPr>
        <w:jc w:val="both"/>
      </w:pPr>
    </w:p>
    <w:p w:rsidR="004A17BD" w:rsidRDefault="00745C85">
      <w:pPr>
        <w:jc w:val="both"/>
      </w:pPr>
      <w:r>
        <w:rPr>
          <w:b/>
        </w:rPr>
        <w:t>Tabela 1:</w:t>
      </w:r>
      <w:r>
        <w:t xml:space="preserve"> Área total, área de cobertura de vegetação natural e á</w:t>
      </w:r>
      <w:r>
        <w:t xml:space="preserve">rea natural ponderada pelo tamanho do fragmento para cada regime de proteção (as reservas legais foram simuladas para esta análise). </w:t>
      </w:r>
    </w:p>
    <w:tbl>
      <w:tblPr>
        <w:tblStyle w:val="a"/>
        <w:tblW w:w="86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48"/>
        <w:gridCol w:w="1520"/>
        <w:gridCol w:w="1554"/>
        <w:gridCol w:w="2109"/>
        <w:gridCol w:w="2109"/>
      </w:tblGrid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9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Regime de proteção</w:t>
            </w:r>
          </w:p>
        </w:tc>
        <w:tc>
          <w:tcPr>
            <w:tcW w:w="1519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Área Total (hectares)</w:t>
            </w:r>
          </w:p>
        </w:tc>
        <w:tc>
          <w:tcPr>
            <w:tcW w:w="1553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Natural Bruto (hectares)</w:t>
            </w:r>
          </w:p>
        </w:tc>
        <w:tc>
          <w:tcPr>
            <w:tcW w:w="2108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Natural Ponderado (hectares)</w:t>
            </w:r>
          </w:p>
        </w:tc>
        <w:tc>
          <w:tcPr>
            <w:tcW w:w="2108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% Redução</w:t>
            </w:r>
          </w:p>
        </w:tc>
      </w:tr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APA</w:t>
            </w:r>
          </w:p>
        </w:tc>
        <w:tc>
          <w:tcPr>
            <w:tcW w:w="1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4552271</w:t>
            </w:r>
          </w:p>
        </w:tc>
        <w:tc>
          <w:tcPr>
            <w:tcW w:w="1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2607</w:t>
            </w:r>
            <w:r>
              <w:t>005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2456270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5,78%</w:t>
            </w:r>
          </w:p>
        </w:tc>
      </w:tr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UCPI</w:t>
            </w:r>
          </w:p>
        </w:tc>
        <w:tc>
          <w:tcPr>
            <w:tcW w:w="1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891516</w:t>
            </w:r>
          </w:p>
        </w:tc>
        <w:tc>
          <w:tcPr>
            <w:tcW w:w="1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703014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671824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4,44%</w:t>
            </w:r>
          </w:p>
        </w:tc>
      </w:tr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Quilombola</w:t>
            </w:r>
          </w:p>
        </w:tc>
        <w:tc>
          <w:tcPr>
            <w:tcW w:w="1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170869</w:t>
            </w:r>
          </w:p>
        </w:tc>
        <w:tc>
          <w:tcPr>
            <w:tcW w:w="1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108233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99659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7,92%</w:t>
            </w:r>
          </w:p>
        </w:tc>
      </w:tr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lastRenderedPageBreak/>
              <w:t>RL</w:t>
            </w:r>
          </w:p>
        </w:tc>
        <w:tc>
          <w:tcPr>
            <w:tcW w:w="1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9541385</w:t>
            </w:r>
          </w:p>
        </w:tc>
        <w:tc>
          <w:tcPr>
            <w:tcW w:w="1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2059741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1311877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36,31%</w:t>
            </w:r>
          </w:p>
        </w:tc>
      </w:tr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TI</w:t>
            </w:r>
          </w:p>
        </w:tc>
        <w:tc>
          <w:tcPr>
            <w:tcW w:w="1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287997</w:t>
            </w:r>
          </w:p>
        </w:tc>
        <w:tc>
          <w:tcPr>
            <w:tcW w:w="1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64800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44426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31,44%</w:t>
            </w:r>
          </w:p>
        </w:tc>
      </w:tr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US</w:t>
            </w:r>
          </w:p>
        </w:tc>
        <w:tc>
          <w:tcPr>
            <w:tcW w:w="15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101125</w:t>
            </w:r>
          </w:p>
        </w:tc>
        <w:tc>
          <w:tcPr>
            <w:tcW w:w="1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59505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47152</w:t>
            </w:r>
          </w:p>
        </w:tc>
        <w:tc>
          <w:tcPr>
            <w:tcW w:w="21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widowControl w:val="0"/>
            </w:pPr>
            <w:r>
              <w:t>20,76%</w:t>
            </w:r>
          </w:p>
        </w:tc>
      </w:tr>
    </w:tbl>
    <w:p w:rsidR="004A17BD" w:rsidRDefault="004A17BD">
      <w:pPr>
        <w:jc w:val="both"/>
      </w:pPr>
    </w:p>
    <w:p w:rsidR="004A17BD" w:rsidRDefault="004A17BD">
      <w:pPr>
        <w:jc w:val="both"/>
      </w:pPr>
    </w:p>
    <w:p w:rsidR="004A17BD" w:rsidRDefault="00745C85">
      <w:pPr>
        <w:jc w:val="center"/>
      </w:pPr>
      <w:r>
        <w:rPr>
          <w:noProof/>
        </w:rPr>
        <w:drawing>
          <wp:inline distT="114300" distB="114300" distL="114300" distR="114300">
            <wp:extent cx="4657725" cy="2552700"/>
            <wp:effectExtent l="0" t="0" r="0" b="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17BD" w:rsidRDefault="00745C85">
      <w:pPr>
        <w:jc w:val="both"/>
      </w:pPr>
      <w:r>
        <w:rPr>
          <w:b/>
        </w:rPr>
        <w:t>Figura 6:</w:t>
      </w:r>
      <w:r>
        <w:t xml:space="preserve"> Extensão de vegetação natural sob diferentes regimes de proteção e valor corrigido por meio da ponderação em função do tamanho dos fragmentos (as reservas legais foram simuladas para esta análise). </w:t>
      </w:r>
    </w:p>
    <w:p w:rsidR="004A17BD" w:rsidRDefault="004A17BD">
      <w:pPr>
        <w:jc w:val="both"/>
      </w:pPr>
    </w:p>
    <w:p w:rsidR="004A17BD" w:rsidRDefault="004A17BD">
      <w:pPr>
        <w:jc w:val="both"/>
      </w:pPr>
    </w:p>
    <w:p w:rsidR="004A17BD" w:rsidRDefault="00745C85">
      <w:pPr>
        <w:jc w:val="both"/>
      </w:pPr>
      <w:r>
        <w:t xml:space="preserve">Atendendo à solicitação feita durante o workshop, foi </w:t>
      </w:r>
      <w:r>
        <w:t>calculada a extensão de área sob os diferentes regimes de proteção em cada bioma ao longo do território baiano: Cerrado, Caatinga e Mata Atlântica (Figura 7). Observa-se que no Cerrado a ponderação impactou pouco a contribuição de cada regime, em termos de</w:t>
      </w:r>
      <w:r>
        <w:t xml:space="preserve"> área, ao passo que na Caatinga houve redução expressiva na contribuição das reservas legais (simuladas), APPs e APAs. Já na Mata Atlântica as reduções foram ainda mais expressivas para todos os regimes de proteção, mas especialmente para reservas legais (</w:t>
      </w:r>
      <w:r>
        <w:t>simuladas), APPs e APAs.</w:t>
      </w:r>
    </w:p>
    <w:tbl>
      <w:tblPr>
        <w:tblStyle w:val="a0"/>
        <w:tblW w:w="6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6480"/>
      </w:tblGrid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3810000" cy="2247900"/>
                  <wp:effectExtent l="0" t="0" r="0" b="0"/>
                  <wp:docPr id="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19" cy="2248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3810000" cy="2286000"/>
                  <wp:effectExtent l="0" t="0" r="0" b="0"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18" cy="22863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3790950" cy="2209800"/>
                  <wp:effectExtent l="0" t="0" r="0" b="0"/>
                  <wp:docPr id="1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464" cy="221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6" w:name="_GoBack"/>
        <w:bookmarkEnd w:id="6"/>
      </w:tr>
    </w:tbl>
    <w:p w:rsidR="004A17BD" w:rsidRDefault="004A17BD">
      <w:pPr>
        <w:jc w:val="center"/>
      </w:pPr>
    </w:p>
    <w:p w:rsidR="004A17BD" w:rsidRDefault="00745C85">
      <w:pPr>
        <w:jc w:val="both"/>
      </w:pPr>
      <w:r>
        <w:rPr>
          <w:b/>
        </w:rPr>
        <w:t>Figura 7:</w:t>
      </w:r>
      <w:r>
        <w:t xml:space="preserve"> Extensão de vegetação natural sob diferentes regimes de proteção e valor corrigido por meio da ponderação em função do tamanho dos fragmentos para cada bioma (as reservas legais foram simuladas para esta análise). </w:t>
      </w:r>
    </w:p>
    <w:p w:rsidR="00B62537" w:rsidRDefault="00B62537">
      <w:pPr>
        <w:jc w:val="both"/>
      </w:pPr>
    </w:p>
    <w:p w:rsidR="004A17BD" w:rsidRDefault="00745C85">
      <w:pPr>
        <w:jc w:val="both"/>
      </w:pPr>
      <w:r>
        <w:lastRenderedPageBreak/>
        <w:t>A representação ecológica dos diferentes regimes de proteção foi avaliada para 373 espécies de vertebrados com ocorrência no estado da Bahia utilizando dois critérios: (1) utilizando dados brutos e (2) utilizando a ponderação dos remanescentes de vegetação</w:t>
      </w:r>
      <w:r>
        <w:t xml:space="preserve"> natural em função do tamanho dos fragmentos. A figura 8 demonstra que quando valores brutos são utilizados, o potencial de regimes menos restritivos fica superestimado, com uma proporção considerável das metas cumpridas por APPs e reservas legais. Entreta</w:t>
      </w:r>
      <w:r>
        <w:t xml:space="preserve">nto, considerando que muitas áreas apresentam um grau muito expressivo de fragmentação, seu potencial efetivo para conservação a longo prazo fica comprometido. O gráfico inferior apresenta uma proposta de correção desta análise, conferindo peso mais baixo </w:t>
      </w:r>
      <w:r>
        <w:t xml:space="preserve">aos fragmentos de menor tamanho, com isso, a maior parte dos alvos de conservação permanecem nas categorias de menos de 50% das metas cumpridas, mesmo quando se incluem as APPs e reservas legais. Essa abordagem reduz o risco de superestimar a contribuição </w:t>
      </w:r>
      <w:r>
        <w:t>das APPs e reservas legais e valoriza áreas contínuas, por exemplo reservas definidas por meio de cotas de reserva ambiental de maneira planejada e utilizando critérios de paisagem e áreas adjacentes a UCs.</w:t>
      </w:r>
    </w:p>
    <w:p w:rsidR="004A17BD" w:rsidRDefault="004A17BD">
      <w:pPr>
        <w:jc w:val="both"/>
      </w:pPr>
    </w:p>
    <w:tbl>
      <w:tblPr>
        <w:tblStyle w:val="a1"/>
        <w:tblW w:w="86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8640"/>
      </w:tblGrid>
      <w:tr w:rsidR="004A17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17BD" w:rsidRDefault="00745C85">
            <w:pPr>
              <w:jc w:val="both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5233988" cy="2910881"/>
                  <wp:effectExtent l="0" t="0" r="0" b="0"/>
                  <wp:docPr id="1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988" cy="29108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5243513" cy="2883932"/>
                  <wp:effectExtent l="0" t="0" r="0" b="0"/>
                  <wp:docPr id="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513" cy="2883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7BD" w:rsidRDefault="00745C85">
      <w:pPr>
        <w:jc w:val="both"/>
      </w:pPr>
      <w:r>
        <w:rPr>
          <w:b/>
        </w:rPr>
        <w:t>Figura 8:</w:t>
      </w:r>
      <w:r>
        <w:t xml:space="preserve"> Contribuição acumulada dos diferen</w:t>
      </w:r>
      <w:r>
        <w:t>tes regimes de proteção para o cumprimento das metas. O eixo y representa o número de espécies-alvo e as cores, o seu nível de proteção acumulada pelos diferentes regimes, medido pela proporção atingida de sua meta de conservação. Os regimes de proteção, n</w:t>
      </w:r>
      <w:r>
        <w:t>o eixo x, estão ordenados do mais restritivo para o menos restritivo e a proteção calculada é acumulada da esquerda para a direita no gráfico. O gráfico superior foi calculado a partir dos valores brutos de extensão da vegetação natural e o gráfico inferio</w:t>
      </w:r>
      <w:r>
        <w:t>r foi corrigido por meio da ponderação, evitando uma superestimativa do potencial para conservação de regimes muito permissivos.</w:t>
      </w:r>
    </w:p>
    <w:p w:rsidR="004A17BD" w:rsidRDefault="00745C85">
      <w:pPr>
        <w:pStyle w:val="Ttulo1"/>
        <w:jc w:val="both"/>
      </w:pPr>
      <w:bookmarkStart w:id="7" w:name="_bbpt3eaclsaf" w:colFirst="0" w:colLast="0"/>
      <w:bookmarkEnd w:id="7"/>
      <w:r>
        <w:lastRenderedPageBreak/>
        <w:t>Recomendações:</w:t>
      </w:r>
    </w:p>
    <w:p w:rsidR="004A17BD" w:rsidRDefault="004A17BD">
      <w:pPr>
        <w:jc w:val="both"/>
      </w:pPr>
    </w:p>
    <w:p w:rsidR="004A17BD" w:rsidRDefault="00745C85" w:rsidP="00B62537">
      <w:r>
        <w:t>1. Se possível, definir limiares das classes de tamanho com base em dados empíricos, representando o potencial para conservação</w:t>
      </w:r>
      <w:r>
        <w:br/>
        <w:t>2. Considerar particularidades da área de estudo na definição dos limiares</w:t>
      </w:r>
      <w:r>
        <w:br/>
        <w:t>3. Considerar heterogeneidade da área de estudo (e.g.</w:t>
      </w:r>
      <w:r>
        <w:t xml:space="preserve"> diferentes biomas, propriedades de diferentes tamanhos) </w:t>
      </w:r>
      <w:r>
        <w:br/>
        <w:t>4. Outros atributos da paisagem podem contribuir, como formato e distância entre fragmentos</w:t>
      </w:r>
      <w:r>
        <w:br/>
        <w:t>5. Correção de dados fundiários do CAR / CEFIR demanda tempo e muitas decisões, em função de erros topológ</w:t>
      </w:r>
      <w:r>
        <w:t>icos. Caso venham a ser utilizados, considerar o tempo necessário para pré-processamento.</w:t>
      </w:r>
      <w:r>
        <w:br/>
      </w:r>
    </w:p>
    <w:sectPr w:rsidR="004A17BD">
      <w:footerReference w:type="default" r:id="rId17"/>
      <w:headerReference w:type="first" r:id="rId18"/>
      <w:pgSz w:w="12240" w:h="15840"/>
      <w:pgMar w:top="1440" w:right="1800" w:bottom="1440" w:left="18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C85" w:rsidRDefault="00745C85">
      <w:r>
        <w:separator/>
      </w:r>
    </w:p>
  </w:endnote>
  <w:endnote w:type="continuationSeparator" w:id="0">
    <w:p w:rsidR="00745C85" w:rsidRDefault="00745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7BD" w:rsidRDefault="00745C85">
    <w:pPr>
      <w:tabs>
        <w:tab w:val="center" w:pos="4252"/>
        <w:tab w:val="right" w:pos="8504"/>
      </w:tabs>
      <w:jc w:val="right"/>
    </w:pPr>
    <w:r>
      <w:fldChar w:fldCharType="begin"/>
    </w:r>
    <w:r>
      <w:instrText>PAGE</w:instrText>
    </w:r>
    <w:r>
      <w:fldChar w:fldCharType="separate"/>
    </w:r>
    <w:r w:rsidR="00B62537">
      <w:rPr>
        <w:noProof/>
      </w:rPr>
      <w:t>12</w:t>
    </w:r>
    <w:r>
      <w:fldChar w:fldCharType="end"/>
    </w:r>
  </w:p>
  <w:p w:rsidR="004A17BD" w:rsidRDefault="004A17BD">
    <w:pPr>
      <w:tabs>
        <w:tab w:val="center" w:pos="4252"/>
        <w:tab w:val="right" w:pos="8504"/>
      </w:tabs>
      <w:spacing w:after="72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C85" w:rsidRDefault="00745C85">
      <w:r>
        <w:separator/>
      </w:r>
    </w:p>
  </w:footnote>
  <w:footnote w:type="continuationSeparator" w:id="0">
    <w:p w:rsidR="00745C85" w:rsidRDefault="00745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7BD" w:rsidRDefault="00745C85">
    <w:pPr>
      <w:tabs>
        <w:tab w:val="center" w:pos="4252"/>
        <w:tab w:val="right" w:pos="8504"/>
      </w:tabs>
      <w:spacing w:before="720"/>
      <w:ind w:left="-1260"/>
    </w:pPr>
    <w:r>
      <w:rPr>
        <w:noProof/>
      </w:rPr>
      <w:drawing>
        <wp:inline distT="0" distB="0" distL="0" distR="0">
          <wp:extent cx="693023" cy="838605"/>
          <wp:effectExtent l="0" t="0" r="0" b="0"/>
          <wp:docPr id="3" name="image13.gif" descr="C:\Users\paulavaldujo\Dropbox\AA_Panda\panda_WWF_fundotransparente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gif" descr="C:\Users\paulavaldujo\Dropbox\AA_Panda\panda_WWF_fundotransparente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3023" cy="8386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7BD"/>
    <w:rsid w:val="004A17BD"/>
    <w:rsid w:val="00745C85"/>
    <w:rsid w:val="00B6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EFFB8"/>
  <w15:docId w15:val="{318834FE-B86E-43BE-843B-330FC2712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20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</w:pPr>
    <w:rPr>
      <w:rFonts w:ascii="Calibri" w:eastAsia="Calibri" w:hAnsi="Calibri" w:cs="Calibri"/>
      <w:i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BE1EFBF85679641A05DDCC0D175E7D2" ma:contentTypeVersion="8" ma:contentTypeDescription="Crie um novo documento." ma:contentTypeScope="" ma:versionID="02d745c7558a39438f212d91fee438b8">
  <xsd:schema xmlns:xsd="http://www.w3.org/2001/XMLSchema" xmlns:xs="http://www.w3.org/2001/XMLSchema" xmlns:p="http://schemas.microsoft.com/office/2006/metadata/properties" xmlns:ns2="99b9d92f-ea69-423a-abc9-c11fdd19f08f" xmlns:ns3="e985d047-4385-4c41-b04d-09163de86d03" targetNamespace="http://schemas.microsoft.com/office/2006/metadata/properties" ma:root="true" ma:fieldsID="6c7165f9e800140069043b6536667639" ns2:_="" ns3:_="">
    <xsd:import namespace="99b9d92f-ea69-423a-abc9-c11fdd19f08f"/>
    <xsd:import namespace="e985d047-4385-4c41-b04d-09163de86d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9d92f-ea69-423a-abc9-c11fdd19f0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85d047-4385-4c41-b04d-09163de86d0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1CED9-A086-485B-BAE6-82EC94E59F9A}"/>
</file>

<file path=customXml/itemProps2.xml><?xml version="1.0" encoding="utf-8"?>
<ds:datastoreItem xmlns:ds="http://schemas.openxmlformats.org/officeDocument/2006/customXml" ds:itemID="{E4CA7121-452F-411D-81EB-BC35590080C2}"/>
</file>

<file path=customXml/itemProps3.xml><?xml version="1.0" encoding="utf-8"?>
<ds:datastoreItem xmlns:ds="http://schemas.openxmlformats.org/officeDocument/2006/customXml" ds:itemID="{753E57C3-B7FA-4FB1-81A6-4AF3232B3E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1853</Words>
  <Characters>10009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Hanna Valdujo</dc:creator>
  <cp:lastModifiedBy>Paula Hanna Valdujo</cp:lastModifiedBy>
  <cp:revision>2</cp:revision>
  <dcterms:created xsi:type="dcterms:W3CDTF">2016-11-14T23:15:00Z</dcterms:created>
  <dcterms:modified xsi:type="dcterms:W3CDTF">2016-11-14T23:15:00Z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0x010100DBE1EFBF85679641A05DDCC0D175E7D2</vt:lpwstr>
  </property>
</Properties>
</file>