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722" w:rsidRPr="001F7C41" w:rsidRDefault="00625722" w:rsidP="00625722">
      <w:pPr>
        <w:spacing w:before="120" w:after="120"/>
        <w:rPr>
          <w:rFonts w:ascii="Times New Roman" w:hAnsi="Times New Roman" w:cs="Times New Roman"/>
          <w:b/>
          <w:sz w:val="24"/>
          <w:szCs w:val="24"/>
          <w:lang w:val="en-US"/>
        </w:rPr>
      </w:pPr>
    </w:p>
    <w:p w:rsidR="00625722" w:rsidRPr="001C4C44" w:rsidRDefault="00625722" w:rsidP="00625722">
      <w:pPr>
        <w:spacing w:before="120" w:after="120"/>
        <w:jc w:val="center"/>
        <w:rPr>
          <w:b/>
          <w:sz w:val="24"/>
          <w:szCs w:val="24"/>
        </w:rPr>
      </w:pPr>
      <w:r w:rsidRPr="001C4C44">
        <w:rPr>
          <w:b/>
          <w:sz w:val="24"/>
          <w:szCs w:val="24"/>
        </w:rPr>
        <w:t>Projeto BRA/12/G31</w:t>
      </w:r>
    </w:p>
    <w:p w:rsidR="00625722" w:rsidRPr="001C4C44" w:rsidRDefault="00625722" w:rsidP="00625722">
      <w:pPr>
        <w:spacing w:before="120" w:after="120"/>
        <w:jc w:val="center"/>
        <w:rPr>
          <w:sz w:val="24"/>
          <w:szCs w:val="24"/>
        </w:rPr>
      </w:pPr>
      <w:r w:rsidRPr="001C4C44">
        <w:rPr>
          <w:sz w:val="24"/>
          <w:szCs w:val="24"/>
        </w:rPr>
        <w:t xml:space="preserve">Planejamento Nacional da Biodiversidade para Apoio à </w:t>
      </w:r>
      <w:proofErr w:type="gramStart"/>
      <w:r w:rsidRPr="001C4C44">
        <w:rPr>
          <w:sz w:val="24"/>
          <w:szCs w:val="24"/>
        </w:rPr>
        <w:t>Implementação</w:t>
      </w:r>
      <w:proofErr w:type="gramEnd"/>
      <w:r w:rsidRPr="001C4C44">
        <w:rPr>
          <w:sz w:val="24"/>
          <w:szCs w:val="24"/>
        </w:rPr>
        <w:t xml:space="preserve"> do Plano Estratégico da CDB 2011-2020 no Brasil</w:t>
      </w:r>
    </w:p>
    <w:p w:rsidR="00625722" w:rsidRPr="001C4C44" w:rsidRDefault="00625722" w:rsidP="00625722">
      <w:pPr>
        <w:spacing w:before="120" w:after="120"/>
        <w:rPr>
          <w:sz w:val="24"/>
          <w:szCs w:val="24"/>
        </w:rPr>
      </w:pPr>
    </w:p>
    <w:p w:rsidR="00625722" w:rsidRDefault="00625722" w:rsidP="00625722">
      <w:pPr>
        <w:spacing w:before="120" w:after="120"/>
        <w:rPr>
          <w:sz w:val="24"/>
          <w:szCs w:val="24"/>
        </w:rPr>
      </w:pPr>
    </w:p>
    <w:p w:rsidR="00625722" w:rsidRDefault="00625722" w:rsidP="00625722">
      <w:pPr>
        <w:spacing w:before="120" w:after="120"/>
        <w:rPr>
          <w:sz w:val="24"/>
          <w:szCs w:val="24"/>
        </w:rPr>
      </w:pPr>
    </w:p>
    <w:p w:rsidR="00625722" w:rsidRDefault="00625722" w:rsidP="00625722">
      <w:pPr>
        <w:spacing w:before="120" w:after="120"/>
        <w:rPr>
          <w:sz w:val="24"/>
          <w:szCs w:val="24"/>
        </w:rPr>
      </w:pPr>
    </w:p>
    <w:p w:rsidR="00625722" w:rsidRPr="001C4C44" w:rsidRDefault="00625722" w:rsidP="00625722">
      <w:pPr>
        <w:spacing w:before="120" w:after="120"/>
        <w:rPr>
          <w:sz w:val="24"/>
          <w:szCs w:val="24"/>
        </w:rPr>
      </w:pPr>
    </w:p>
    <w:p w:rsidR="00625722" w:rsidRPr="001C4C44" w:rsidRDefault="00625722" w:rsidP="00625722">
      <w:pPr>
        <w:spacing w:before="120" w:after="120"/>
        <w:jc w:val="center"/>
        <w:rPr>
          <w:b/>
          <w:sz w:val="28"/>
          <w:szCs w:val="28"/>
        </w:rPr>
      </w:pPr>
      <w:r w:rsidRPr="001C4C44">
        <w:rPr>
          <w:b/>
          <w:sz w:val="28"/>
          <w:szCs w:val="28"/>
        </w:rPr>
        <w:t>Consultora: Agnes L. Velloso</w:t>
      </w:r>
    </w:p>
    <w:p w:rsidR="00625722" w:rsidRPr="001C4C44" w:rsidRDefault="00625722" w:rsidP="00625722">
      <w:pPr>
        <w:spacing w:before="120" w:after="120"/>
        <w:jc w:val="center"/>
        <w:rPr>
          <w:b/>
          <w:sz w:val="28"/>
          <w:szCs w:val="28"/>
        </w:rPr>
      </w:pPr>
    </w:p>
    <w:p w:rsidR="00625722" w:rsidRPr="001C4C44" w:rsidRDefault="00625722" w:rsidP="00625722">
      <w:pPr>
        <w:spacing w:before="120" w:after="120"/>
        <w:jc w:val="center"/>
        <w:rPr>
          <w:b/>
          <w:sz w:val="28"/>
          <w:szCs w:val="28"/>
        </w:rPr>
      </w:pPr>
    </w:p>
    <w:p w:rsidR="00625722" w:rsidRPr="001C4C44" w:rsidRDefault="00625722" w:rsidP="00625722">
      <w:pPr>
        <w:spacing w:before="120" w:after="120"/>
        <w:jc w:val="center"/>
        <w:rPr>
          <w:b/>
          <w:sz w:val="28"/>
          <w:szCs w:val="28"/>
        </w:rPr>
      </w:pPr>
    </w:p>
    <w:p w:rsidR="00625722" w:rsidRPr="001F7C41" w:rsidRDefault="00625722" w:rsidP="00625722">
      <w:pPr>
        <w:spacing w:before="120" w:after="120"/>
        <w:jc w:val="center"/>
        <w:rPr>
          <w:rFonts w:ascii="Times New Roman" w:hAnsi="Times New Roman" w:cs="Times New Roman"/>
          <w:b/>
          <w:sz w:val="24"/>
          <w:szCs w:val="24"/>
        </w:rPr>
      </w:pPr>
      <w:r w:rsidRPr="001C4C44">
        <w:rPr>
          <w:b/>
          <w:sz w:val="28"/>
          <w:szCs w:val="28"/>
        </w:rPr>
        <w:t xml:space="preserve">Produto </w:t>
      </w:r>
      <w:r>
        <w:rPr>
          <w:b/>
          <w:sz w:val="28"/>
          <w:szCs w:val="28"/>
        </w:rPr>
        <w:t>4</w:t>
      </w:r>
      <w:r w:rsidRPr="001C4C44">
        <w:rPr>
          <w:b/>
          <w:sz w:val="28"/>
          <w:szCs w:val="28"/>
        </w:rPr>
        <w:t xml:space="preserve"> </w:t>
      </w:r>
      <w:r>
        <w:rPr>
          <w:b/>
          <w:sz w:val="28"/>
          <w:szCs w:val="28"/>
        </w:rPr>
        <w:t>– Parte III do 5º RN para a CDB</w:t>
      </w:r>
    </w:p>
    <w:p w:rsidR="00625722" w:rsidRPr="001F7C41" w:rsidRDefault="00625722" w:rsidP="00625722">
      <w:pPr>
        <w:spacing w:before="120" w:after="120"/>
        <w:rPr>
          <w:rFonts w:ascii="Times New Roman" w:hAnsi="Times New Roman" w:cs="Times New Roman"/>
          <w:b/>
          <w:sz w:val="24"/>
          <w:szCs w:val="24"/>
        </w:rPr>
      </w:pPr>
    </w:p>
    <w:p w:rsidR="00625722" w:rsidRDefault="00625722" w:rsidP="00625722">
      <w:pPr>
        <w:spacing w:before="120" w:after="120"/>
        <w:rPr>
          <w:rFonts w:ascii="Times New Roman" w:hAnsi="Times New Roman" w:cs="Times New Roman"/>
          <w:b/>
          <w:sz w:val="24"/>
          <w:szCs w:val="24"/>
        </w:rPr>
      </w:pPr>
    </w:p>
    <w:p w:rsidR="00625722" w:rsidRDefault="00625722" w:rsidP="00625722">
      <w:pPr>
        <w:spacing w:before="120" w:after="120"/>
        <w:rPr>
          <w:rFonts w:ascii="Times New Roman" w:hAnsi="Times New Roman" w:cs="Times New Roman"/>
          <w:b/>
          <w:sz w:val="24"/>
          <w:szCs w:val="24"/>
        </w:rPr>
      </w:pPr>
    </w:p>
    <w:p w:rsidR="00625722" w:rsidRDefault="00625722" w:rsidP="00625722">
      <w:pPr>
        <w:spacing w:before="120" w:after="120"/>
        <w:rPr>
          <w:rFonts w:ascii="Times New Roman" w:hAnsi="Times New Roman" w:cs="Times New Roman"/>
          <w:b/>
          <w:sz w:val="24"/>
          <w:szCs w:val="24"/>
        </w:rPr>
      </w:pPr>
    </w:p>
    <w:p w:rsidR="00625722" w:rsidRDefault="00625722" w:rsidP="00625722">
      <w:pPr>
        <w:spacing w:before="120" w:after="120"/>
        <w:jc w:val="center"/>
        <w:rPr>
          <w:rFonts w:ascii="Times New Roman" w:hAnsi="Times New Roman" w:cs="Times New Roman"/>
          <w:b/>
          <w:sz w:val="24"/>
          <w:szCs w:val="24"/>
        </w:rPr>
      </w:pPr>
      <w:r>
        <w:rPr>
          <w:rFonts w:ascii="Times New Roman" w:hAnsi="Times New Roman" w:cs="Times New Roman"/>
          <w:b/>
          <w:sz w:val="24"/>
          <w:szCs w:val="24"/>
        </w:rPr>
        <w:t>09 julho 2014</w:t>
      </w:r>
    </w:p>
    <w:p w:rsidR="00625722" w:rsidRDefault="00625722" w:rsidP="00625722">
      <w:pPr>
        <w:spacing w:before="120" w:after="120"/>
        <w:rPr>
          <w:rFonts w:ascii="Times New Roman" w:hAnsi="Times New Roman" w:cs="Times New Roman"/>
          <w:b/>
          <w:sz w:val="24"/>
          <w:szCs w:val="24"/>
        </w:rPr>
      </w:pPr>
    </w:p>
    <w:p w:rsidR="00DE333A" w:rsidRDefault="00DE333A"/>
    <w:p w:rsidR="00625722" w:rsidRDefault="00625722"/>
    <w:p w:rsidR="00625722" w:rsidRDefault="00625722"/>
    <w:p w:rsidR="00625722" w:rsidRDefault="00625722"/>
    <w:p w:rsidR="00625722" w:rsidRDefault="00625722"/>
    <w:p w:rsidR="00625722" w:rsidRDefault="00625722"/>
    <w:p w:rsidR="00625722" w:rsidRPr="00625722" w:rsidRDefault="00625722">
      <w:pPr>
        <w:rPr>
          <w:b/>
        </w:rPr>
      </w:pPr>
      <w:r w:rsidRPr="00625722">
        <w:rPr>
          <w:b/>
        </w:rPr>
        <w:br w:type="page"/>
      </w:r>
    </w:p>
    <w:p w:rsidR="00D114C9" w:rsidRPr="00950671" w:rsidRDefault="00D114C9" w:rsidP="00D114C9">
      <w:pPr>
        <w:jc w:val="center"/>
        <w:rPr>
          <w:rFonts w:ascii="Times New Roman" w:hAnsi="Times New Roman" w:cs="Times New Roman"/>
          <w:b/>
          <w:sz w:val="28"/>
          <w:szCs w:val="28"/>
          <w:lang w:val="en-US"/>
        </w:rPr>
      </w:pPr>
      <w:r w:rsidRPr="00950671">
        <w:rPr>
          <w:rFonts w:ascii="Times New Roman" w:hAnsi="Times New Roman" w:cs="Times New Roman"/>
          <w:b/>
          <w:sz w:val="28"/>
          <w:szCs w:val="28"/>
          <w:lang w:val="en-US"/>
        </w:rPr>
        <w:lastRenderedPageBreak/>
        <w:t>BRAZIL</w:t>
      </w:r>
    </w:p>
    <w:p w:rsidR="00D114C9" w:rsidRPr="00950671" w:rsidRDefault="00D114C9" w:rsidP="00D114C9">
      <w:pPr>
        <w:jc w:val="center"/>
        <w:rPr>
          <w:rFonts w:ascii="Times New Roman" w:hAnsi="Times New Roman" w:cs="Times New Roman"/>
          <w:b/>
          <w:sz w:val="28"/>
          <w:szCs w:val="28"/>
          <w:lang w:val="en-US"/>
        </w:rPr>
      </w:pPr>
      <w:r w:rsidRPr="00950671">
        <w:rPr>
          <w:rFonts w:ascii="Times New Roman" w:hAnsi="Times New Roman" w:cs="Times New Roman"/>
          <w:b/>
          <w:sz w:val="28"/>
          <w:szCs w:val="28"/>
          <w:lang w:val="en-US"/>
        </w:rPr>
        <w:t>Fifth National Report to the CBD</w:t>
      </w:r>
    </w:p>
    <w:p w:rsidR="00D114C9" w:rsidRPr="002979B3" w:rsidRDefault="00D114C9" w:rsidP="00D114C9">
      <w:pPr>
        <w:jc w:val="center"/>
        <w:rPr>
          <w:rFonts w:ascii="Times New Roman" w:hAnsi="Times New Roman" w:cs="Times New Roman"/>
          <w:sz w:val="24"/>
          <w:szCs w:val="24"/>
          <w:lang w:val="en-US"/>
        </w:rPr>
      </w:pPr>
    </w:p>
    <w:p w:rsidR="00D114C9" w:rsidRPr="00262FD8" w:rsidRDefault="00D114C9" w:rsidP="00D114C9">
      <w:pPr>
        <w:jc w:val="center"/>
        <w:rPr>
          <w:rFonts w:ascii="Times New Roman" w:hAnsi="Times New Roman" w:cs="Times New Roman"/>
          <w:color w:val="FF0000"/>
          <w:sz w:val="32"/>
          <w:szCs w:val="32"/>
          <w:lang w:val="en-US"/>
        </w:rPr>
      </w:pPr>
      <w:r w:rsidRPr="00950671">
        <w:rPr>
          <w:rFonts w:ascii="Times New Roman" w:hAnsi="Times New Roman" w:cs="Times New Roman"/>
          <w:b/>
          <w:color w:val="FF0000"/>
          <w:sz w:val="32"/>
          <w:szCs w:val="32"/>
          <w:lang w:val="en-US"/>
        </w:rPr>
        <w:t>DRAFT</w:t>
      </w:r>
      <w:r>
        <w:rPr>
          <w:rFonts w:ascii="Times New Roman" w:hAnsi="Times New Roman" w:cs="Times New Roman"/>
          <w:color w:val="FF0000"/>
          <w:sz w:val="32"/>
          <w:szCs w:val="32"/>
          <w:lang w:val="en-US"/>
        </w:rPr>
        <w:t xml:space="preserve"> – </w:t>
      </w:r>
      <w:r w:rsidRPr="00950671">
        <w:rPr>
          <w:rFonts w:ascii="Times New Roman" w:hAnsi="Times New Roman" w:cs="Times New Roman"/>
          <w:b/>
          <w:color w:val="FF0000"/>
          <w:sz w:val="32"/>
          <w:szCs w:val="32"/>
          <w:u w:val="single"/>
          <w:lang w:val="en-US"/>
        </w:rPr>
        <w:t>NOT</w:t>
      </w:r>
      <w:r>
        <w:rPr>
          <w:rFonts w:ascii="Times New Roman" w:hAnsi="Times New Roman" w:cs="Times New Roman"/>
          <w:color w:val="FF0000"/>
          <w:sz w:val="32"/>
          <w:szCs w:val="32"/>
          <w:lang w:val="en-US"/>
        </w:rPr>
        <w:t xml:space="preserve"> TO BE DISCLOSED</w:t>
      </w:r>
    </w:p>
    <w:p w:rsidR="00D114C9" w:rsidRDefault="00D114C9" w:rsidP="00D114C9">
      <w:pPr>
        <w:jc w:val="center"/>
        <w:rPr>
          <w:rFonts w:ascii="Times New Roman" w:hAnsi="Times New Roman" w:cs="Times New Roman"/>
          <w:color w:val="FF0000"/>
          <w:sz w:val="24"/>
          <w:szCs w:val="24"/>
          <w:lang w:val="en-US"/>
        </w:rPr>
      </w:pPr>
      <w:r>
        <w:rPr>
          <w:rFonts w:ascii="Times New Roman" w:hAnsi="Times New Roman" w:cs="Times New Roman"/>
          <w:color w:val="FF0000"/>
          <w:sz w:val="24"/>
          <w:szCs w:val="24"/>
          <w:lang w:val="en-US"/>
        </w:rPr>
        <w:t>09 July</w:t>
      </w:r>
      <w:r w:rsidRPr="00464819">
        <w:rPr>
          <w:rFonts w:ascii="Times New Roman" w:hAnsi="Times New Roman" w:cs="Times New Roman"/>
          <w:color w:val="FF0000"/>
          <w:sz w:val="24"/>
          <w:szCs w:val="24"/>
          <w:lang w:val="en-US"/>
        </w:rPr>
        <w:t xml:space="preserve"> 2014</w:t>
      </w:r>
    </w:p>
    <w:p w:rsidR="00625722" w:rsidRPr="00D114C9" w:rsidRDefault="00625722">
      <w:pPr>
        <w:rPr>
          <w:lang w:val="en-US"/>
        </w:rPr>
      </w:pPr>
    </w:p>
    <w:p w:rsidR="00625722" w:rsidRPr="00D114C9" w:rsidRDefault="00625722">
      <w:pPr>
        <w:rPr>
          <w:lang w:val="en-US"/>
        </w:rPr>
      </w:pPr>
    </w:p>
    <w:p w:rsidR="00625722" w:rsidRPr="00D114C9" w:rsidRDefault="00625722">
      <w:pPr>
        <w:rPr>
          <w:lang w:val="en-US"/>
        </w:rPr>
      </w:pPr>
    </w:p>
    <w:p w:rsidR="00625722" w:rsidRPr="00625722" w:rsidRDefault="00625722" w:rsidP="00625722">
      <w:pPr>
        <w:ind w:left="1843" w:hanging="1701"/>
        <w:jc w:val="both"/>
        <w:rPr>
          <w:rFonts w:ascii="Times New Roman" w:hAnsi="Times New Roman" w:cs="Times New Roman"/>
          <w:b/>
          <w:sz w:val="32"/>
          <w:szCs w:val="32"/>
          <w:lang w:val="en-US"/>
        </w:rPr>
      </w:pPr>
      <w:bookmarkStart w:id="0" w:name="_Toc392683427"/>
      <w:r w:rsidRPr="00625722">
        <w:rPr>
          <w:rFonts w:ascii="Times New Roman" w:hAnsi="Times New Roman" w:cs="Times New Roman"/>
          <w:b/>
          <w:sz w:val="32"/>
          <w:szCs w:val="32"/>
          <w:lang w:val="en-US"/>
        </w:rPr>
        <w:t>Part III - Progress towards the 2015 and 2020 Aichi Biodiversity Targets and contributions to the relevant 2015 Targets of the Millennium Development Goals</w:t>
      </w:r>
      <w:bookmarkEnd w:id="0"/>
    </w:p>
    <w:p w:rsidR="00625722" w:rsidRPr="00625722" w:rsidRDefault="00625722" w:rsidP="00625722">
      <w:pPr>
        <w:spacing w:before="120" w:after="120"/>
        <w:jc w:val="both"/>
        <w:rPr>
          <w:lang w:val="en-US"/>
        </w:rPr>
      </w:pPr>
    </w:p>
    <w:p w:rsidR="00625722" w:rsidRPr="00625722" w:rsidRDefault="00625722" w:rsidP="00625722">
      <w:pPr>
        <w:spacing w:before="120" w:after="120"/>
        <w:jc w:val="both"/>
        <w:rPr>
          <w:rFonts w:ascii="Times New Roman" w:hAnsi="Times New Roman" w:cs="Times New Roman"/>
          <w:b/>
          <w:sz w:val="28"/>
          <w:szCs w:val="28"/>
          <w:lang w:val="en-US"/>
        </w:rPr>
      </w:pPr>
      <w:bookmarkStart w:id="1" w:name="_Toc392683428"/>
      <w:r>
        <w:rPr>
          <w:rFonts w:ascii="Times New Roman" w:hAnsi="Times New Roman" w:cs="Times New Roman"/>
          <w:b/>
          <w:sz w:val="28"/>
          <w:szCs w:val="28"/>
          <w:lang w:val="en-US"/>
        </w:rPr>
        <w:t xml:space="preserve">3.1. </w:t>
      </w:r>
      <w:r w:rsidRPr="00625722">
        <w:rPr>
          <w:rFonts w:ascii="Times New Roman" w:hAnsi="Times New Roman" w:cs="Times New Roman"/>
          <w:b/>
          <w:sz w:val="28"/>
          <w:szCs w:val="28"/>
          <w:lang w:val="en-US"/>
        </w:rPr>
        <w:t>Progress toward the National and Aichi 2020 Biodiversity Targets</w:t>
      </w:r>
      <w:bookmarkEnd w:id="1"/>
    </w:p>
    <w:p w:rsidR="00625722" w:rsidRPr="00E048A1" w:rsidRDefault="00625722" w:rsidP="00625722">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The assessments of the degree of biodiversity target achievement presented in this section and in the sections below represent a preliminary evaluation based on available data collected for this report. Brazil is currently in the process of developing specific indicators for the National Biodiversity Targets and a monitoring system to allow adequate and continuous measurement of status of target achievement.</w:t>
      </w:r>
    </w:p>
    <w:p w:rsidR="00625722" w:rsidRDefault="00625722" w:rsidP="00625722">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Estimated s</w:t>
      </w:r>
      <w:r w:rsidRPr="00E048A1">
        <w:rPr>
          <w:rFonts w:ascii="Times New Roman" w:hAnsi="Times New Roman" w:cs="Times New Roman"/>
          <w:sz w:val="24"/>
          <w:szCs w:val="24"/>
          <w:lang w:val="en-US"/>
        </w:rPr>
        <w:t xml:space="preserve">tatus of Achievement of the National </w:t>
      </w:r>
      <w:r>
        <w:rPr>
          <w:rFonts w:ascii="Times New Roman" w:hAnsi="Times New Roman" w:cs="Times New Roman"/>
          <w:sz w:val="24"/>
          <w:szCs w:val="24"/>
          <w:lang w:val="en-US"/>
        </w:rPr>
        <w:t xml:space="preserve">and Aichi </w:t>
      </w:r>
      <w:r w:rsidRPr="00E048A1">
        <w:rPr>
          <w:rFonts w:ascii="Times New Roman" w:hAnsi="Times New Roman" w:cs="Times New Roman"/>
          <w:sz w:val="24"/>
          <w:szCs w:val="24"/>
          <w:lang w:val="en-US"/>
        </w:rPr>
        <w:t>2020 Biodiversity Targets</w:t>
      </w:r>
      <w:r>
        <w:rPr>
          <w:rFonts w:ascii="Times New Roman" w:hAnsi="Times New Roman" w:cs="Times New Roman"/>
          <w:sz w:val="24"/>
          <w:szCs w:val="24"/>
          <w:lang w:val="en-US"/>
        </w:rPr>
        <w:t xml:space="preserve"> used a scale of five levels: 0 (insignificant or no progress), 25% (low progress), 50% (medium progress), 75% (advanced progress), and 100% (target met), shown graphically in the preliminary analysis provided below.</w:t>
      </w:r>
    </w:p>
    <w:tbl>
      <w:tblPr>
        <w:tblStyle w:val="Tabelacomgrade"/>
        <w:tblW w:w="0" w:type="auto"/>
        <w:tblLook w:val="04A0" w:firstRow="1" w:lastRow="0" w:firstColumn="1" w:lastColumn="0" w:noHBand="0" w:noVBand="1"/>
      </w:tblPr>
      <w:tblGrid>
        <w:gridCol w:w="4322"/>
        <w:gridCol w:w="4322"/>
      </w:tblGrid>
      <w:tr w:rsidR="00625722" w:rsidRPr="00983340" w:rsidTr="00290342">
        <w:tc>
          <w:tcPr>
            <w:tcW w:w="4322" w:type="dxa"/>
            <w:shd w:val="clear" w:color="auto" w:fill="C2D69B" w:themeFill="accent3" w:themeFillTint="99"/>
          </w:tcPr>
          <w:p w:rsidR="00625722" w:rsidRPr="00983340" w:rsidRDefault="00625722" w:rsidP="00290342">
            <w:pPr>
              <w:spacing w:before="120" w:after="120"/>
              <w:jc w:val="both"/>
              <w:rPr>
                <w:rFonts w:ascii="Times New Roman" w:hAnsi="Times New Roman" w:cs="Times New Roman"/>
                <w:sz w:val="20"/>
                <w:szCs w:val="20"/>
                <w:lang w:val="en-US"/>
              </w:rPr>
            </w:pPr>
            <w:r w:rsidRPr="00983340">
              <w:rPr>
                <w:rFonts w:ascii="Times New Roman" w:hAnsi="Times New Roman" w:cs="Times New Roman"/>
                <w:b/>
                <w:sz w:val="20"/>
                <w:szCs w:val="20"/>
                <w:lang w:val="en-US"/>
              </w:rPr>
              <w:t>National Target 1:</w:t>
            </w:r>
            <w:r>
              <w:rPr>
                <w:rFonts w:ascii="Times New Roman" w:hAnsi="Times New Roman" w:cs="Times New Roman"/>
                <w:sz w:val="20"/>
                <w:szCs w:val="20"/>
                <w:lang w:val="en-US"/>
              </w:rPr>
              <w:t xml:space="preserve"> By 2020, at the latest, Brazilian people are aware of the values of biodiversity and the steps they can take to conserve and use it sustainably.</w:t>
            </w:r>
          </w:p>
        </w:tc>
        <w:tc>
          <w:tcPr>
            <w:tcW w:w="4322" w:type="dxa"/>
            <w:vAlign w:val="center"/>
          </w:tcPr>
          <w:p w:rsidR="00625722" w:rsidRPr="00983340" w:rsidRDefault="00625722" w:rsidP="00290342">
            <w:pPr>
              <w:spacing w:before="120" w:after="120"/>
              <w:jc w:val="center"/>
              <w:rPr>
                <w:rFonts w:ascii="Times New Roman" w:hAnsi="Times New Roman" w:cs="Times New Roman"/>
                <w:sz w:val="20"/>
                <w:szCs w:val="20"/>
                <w:lang w:val="en-US"/>
              </w:rPr>
            </w:pPr>
            <w:r>
              <w:rPr>
                <w:noProof/>
                <w:lang w:eastAsia="pt-BR"/>
              </w:rPr>
              <w:drawing>
                <wp:inline distT="0" distB="0" distL="0" distR="0" wp14:anchorId="132A73BF" wp14:editId="5EA72C25">
                  <wp:extent cx="388189" cy="388189"/>
                  <wp:effectExtent l="0" t="0" r="0" b="0"/>
                  <wp:docPr id="51" name="Imagem 51" descr="circulo_na_metad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circulo_na_metade.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663" cy="384663"/>
                          </a:xfrm>
                          <a:prstGeom prst="rect">
                            <a:avLst/>
                          </a:prstGeom>
                          <a:noFill/>
                          <a:ln>
                            <a:noFill/>
                          </a:ln>
                        </pic:spPr>
                      </pic:pic>
                    </a:graphicData>
                  </a:graphic>
                </wp:inline>
              </w:drawing>
            </w:r>
          </w:p>
        </w:tc>
      </w:tr>
      <w:tr w:rsidR="00625722" w:rsidRPr="00BD4FF1" w:rsidTr="00290342">
        <w:tc>
          <w:tcPr>
            <w:tcW w:w="4322" w:type="dxa"/>
            <w:shd w:val="clear" w:color="auto" w:fill="EAF1DD" w:themeFill="accent3" w:themeFillTint="33"/>
          </w:tcPr>
          <w:p w:rsidR="00625722" w:rsidRPr="00BD4FF1" w:rsidRDefault="00625722" w:rsidP="00290342">
            <w:pPr>
              <w:spacing w:before="120" w:after="120"/>
              <w:jc w:val="both"/>
              <w:rPr>
                <w:rFonts w:ascii="Times New Roman" w:hAnsi="Times New Roman" w:cs="Times New Roman"/>
                <w:sz w:val="20"/>
                <w:szCs w:val="20"/>
                <w:lang w:val="en-US"/>
              </w:rPr>
            </w:pPr>
            <w:r>
              <w:rPr>
                <w:rFonts w:ascii="Times New Roman" w:hAnsi="Times New Roman" w:cs="Times New Roman"/>
                <w:b/>
                <w:sz w:val="20"/>
                <w:szCs w:val="20"/>
                <w:lang w:val="en-US"/>
              </w:rPr>
              <w:t xml:space="preserve">Global Aichi Target 1: </w:t>
            </w:r>
            <w:r w:rsidRPr="00BD4FF1">
              <w:rPr>
                <w:rFonts w:ascii="Times New Roman" w:hAnsi="Times New Roman" w:cs="Times New Roman"/>
                <w:sz w:val="20"/>
                <w:szCs w:val="20"/>
                <w:lang w:val="en-US"/>
              </w:rPr>
              <w:t>By 2020, at the latest, people are aware of the values of biodiversity and the steps they can take to conserve and use it sustainably.</w:t>
            </w:r>
          </w:p>
        </w:tc>
        <w:tc>
          <w:tcPr>
            <w:tcW w:w="4322" w:type="dxa"/>
            <w:vAlign w:val="center"/>
          </w:tcPr>
          <w:p w:rsidR="00625722" w:rsidRPr="00BD4FF1" w:rsidRDefault="00625722" w:rsidP="00290342">
            <w:pPr>
              <w:spacing w:before="120" w:after="120"/>
              <w:jc w:val="center"/>
              <w:rPr>
                <w:noProof/>
                <w:lang w:val="en-US" w:eastAsia="pt-BR"/>
              </w:rPr>
            </w:pPr>
            <w:r>
              <w:rPr>
                <w:noProof/>
                <w:lang w:eastAsia="pt-BR"/>
              </w:rPr>
              <w:drawing>
                <wp:inline distT="0" distB="0" distL="0" distR="0" wp14:anchorId="4E556567" wp14:editId="3D1FF1B7">
                  <wp:extent cx="388189" cy="388189"/>
                  <wp:effectExtent l="0" t="0" r="0" b="0"/>
                  <wp:docPr id="60" name="Imagem 60" descr="circulo_na_metad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circulo_na_metade.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663" cy="384663"/>
                          </a:xfrm>
                          <a:prstGeom prst="rect">
                            <a:avLst/>
                          </a:prstGeom>
                          <a:noFill/>
                          <a:ln>
                            <a:noFill/>
                          </a:ln>
                        </pic:spPr>
                      </pic:pic>
                    </a:graphicData>
                  </a:graphic>
                </wp:inline>
              </w:drawing>
            </w:r>
          </w:p>
        </w:tc>
      </w:tr>
    </w:tbl>
    <w:p w:rsidR="00625722" w:rsidRDefault="00625722" w:rsidP="00625722">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Various efforts are being led by the Ministry of the Environment, other governmental and non-governmental agencies and the private sector to generate and disseminate knowledge on biodiversity and biodiversity value, such as the Brazil TEEB Initiative (see section 1.2.1.2), to contribute to promote and enhance the integration of biodiversity into sectoral policies and programs, as well as a better understanding on the importance and value of biodiversity and ecosystem services and their conservation and sustainable use.</w:t>
      </w:r>
    </w:p>
    <w:p w:rsidR="00625722" w:rsidRPr="00E048A1" w:rsidRDefault="00625722" w:rsidP="00625722">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A series of public opinion polls (1992, 1997, 2001, 2006 and 2012) commissioned by the Ministry of the Environment indicated that public awareness of the natural environment and biodiversity, as well as their importance to human lives and activities has increased in Brazil along the last 20 years (see section 1.1).</w:t>
      </w:r>
      <w:r w:rsidRPr="00F27032">
        <w:rPr>
          <w:rFonts w:ascii="Times New Roman" w:hAnsi="Times New Roman" w:cs="Times New Roman"/>
          <w:sz w:val="24"/>
          <w:szCs w:val="24"/>
          <w:lang w:val="en-US"/>
        </w:rPr>
        <w:t xml:space="preserve"> </w:t>
      </w:r>
      <w:r w:rsidRPr="003C3642">
        <w:rPr>
          <w:rFonts w:ascii="Times New Roman" w:hAnsi="Times New Roman" w:cs="Times New Roman"/>
          <w:sz w:val="24"/>
          <w:szCs w:val="24"/>
          <w:lang w:val="en-US"/>
        </w:rPr>
        <w:t>The most recent</w:t>
      </w:r>
      <w:r>
        <w:rPr>
          <w:rFonts w:ascii="Times New Roman" w:hAnsi="Times New Roman" w:cs="Times New Roman"/>
          <w:sz w:val="24"/>
          <w:szCs w:val="24"/>
          <w:lang w:val="en-US"/>
        </w:rPr>
        <w:t xml:space="preserve"> poll (2012) indicates that 50% of Brazilians are aware of biodiversity loss in comparison to 43% in 2006. Additionally, the 2012 poll indicated that the environment holds the 6</w:t>
      </w:r>
      <w:r w:rsidRPr="003C3642">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place in the list of main concerns of the Brazilian population, after health, violence, </w:t>
      </w:r>
      <w:r>
        <w:rPr>
          <w:rFonts w:ascii="Times New Roman" w:hAnsi="Times New Roman" w:cs="Times New Roman"/>
          <w:sz w:val="24"/>
          <w:szCs w:val="24"/>
          <w:lang w:val="en-US"/>
        </w:rPr>
        <w:lastRenderedPageBreak/>
        <w:t>unemployment, education, and politicians, in comparison to the 12</w:t>
      </w:r>
      <w:r w:rsidRPr="003C3642">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place in 2006 and no mention in 1992. This series of polls also demonstrated that Brazilians consider deforestation as the main environmental problem, and demonstrate concern with a number of other important environmental impacts, such as water pollution; air pollution; increase of solid waste generation; wasteful consumption of water; ozone layer; and climate change; among other aspects. These results are supported by the most recent poll carried out in 2014 by UEBT Biodiversity Barometer</w:t>
      </w:r>
      <w:r>
        <w:rPr>
          <w:rStyle w:val="Refdenotaderodap"/>
          <w:rFonts w:ascii="Times New Roman" w:hAnsi="Times New Roman" w:cs="Times New Roman"/>
          <w:szCs w:val="24"/>
          <w:lang w:val="en-US"/>
        </w:rPr>
        <w:footnoteReference w:id="1"/>
      </w:r>
      <w:r>
        <w:rPr>
          <w:rFonts w:ascii="Times New Roman" w:hAnsi="Times New Roman" w:cs="Times New Roman"/>
          <w:sz w:val="24"/>
          <w:szCs w:val="24"/>
          <w:lang w:val="en-US"/>
        </w:rPr>
        <w:t>, which concluded that in Brazil, 90% of poll participants had already heard about biodiversity and, among the seven countries assessed by the poll (France, Germany, United Kingdom, USA, Brazil, Vietnam and Colombia), Brazil presented the higher number of correct definition on what is understood as biodiversity (50%). Additionally, UEBT’s poll indicated that 96% of Brazilian consumers buy cosmetic products containing natural ingredients, 89% expect companies to comply with their policies on respecting biodiversity, and 88% of interviewees believe they should personally contribute to nature conservation.</w:t>
      </w:r>
    </w:p>
    <w:p w:rsidR="00625722" w:rsidRDefault="00625722" w:rsidP="00625722">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Numerous initiatives at the federal and state level also seek to promote knowledge, production and use of native biodiversity, disseminate information on endangered species and the importance of environmental conservation, reforestation incentives and programs, environmental education programs, among other similar initiatives. A few examples would be </w:t>
      </w:r>
      <w:proofErr w:type="spellStart"/>
      <w:r>
        <w:rPr>
          <w:rFonts w:ascii="Times New Roman" w:hAnsi="Times New Roman" w:cs="Times New Roman"/>
          <w:sz w:val="24"/>
          <w:szCs w:val="24"/>
          <w:lang w:val="en-US"/>
        </w:rPr>
        <w:t>SiBBr</w:t>
      </w:r>
      <w:proofErr w:type="spellEnd"/>
      <w:r>
        <w:rPr>
          <w:rFonts w:ascii="Times New Roman" w:hAnsi="Times New Roman" w:cs="Times New Roman"/>
          <w:sz w:val="24"/>
          <w:szCs w:val="24"/>
          <w:lang w:val="en-US"/>
        </w:rPr>
        <w:t>; the Pact for the Restoration of the Atlantic Forest; the MDS Organic and Sustainable Brazil Campaign during the World Cup 2014; state, federal and private sector environmental education programs implemented through schools, TV and radio programs and other communications channels; among many others.</w:t>
      </w:r>
    </w:p>
    <w:p w:rsidR="00625722" w:rsidRDefault="00625722" w:rsidP="00625722">
      <w:pPr>
        <w:spacing w:before="120" w:after="120"/>
        <w:jc w:val="both"/>
        <w:rPr>
          <w:rFonts w:ascii="Times New Roman" w:hAnsi="Times New Roman" w:cs="Times New Roman"/>
          <w:sz w:val="24"/>
          <w:szCs w:val="24"/>
          <w:lang w:val="en-US"/>
        </w:rPr>
      </w:pPr>
    </w:p>
    <w:tbl>
      <w:tblPr>
        <w:tblStyle w:val="Tabelacomgrade"/>
        <w:tblW w:w="0" w:type="auto"/>
        <w:tblLook w:val="04A0" w:firstRow="1" w:lastRow="0" w:firstColumn="1" w:lastColumn="0" w:noHBand="0" w:noVBand="1"/>
      </w:tblPr>
      <w:tblGrid>
        <w:gridCol w:w="4322"/>
        <w:gridCol w:w="4322"/>
      </w:tblGrid>
      <w:tr w:rsidR="00625722" w:rsidRPr="005F34CB" w:rsidTr="00290342">
        <w:tc>
          <w:tcPr>
            <w:tcW w:w="4322" w:type="dxa"/>
            <w:shd w:val="clear" w:color="auto" w:fill="C2D69B" w:themeFill="accent3" w:themeFillTint="99"/>
          </w:tcPr>
          <w:p w:rsidR="00625722" w:rsidRPr="005F34CB" w:rsidRDefault="00625722" w:rsidP="00290342">
            <w:pPr>
              <w:spacing w:before="120" w:after="120"/>
              <w:jc w:val="both"/>
              <w:rPr>
                <w:rFonts w:ascii="Times New Roman" w:hAnsi="Times New Roman" w:cs="Times New Roman"/>
                <w:sz w:val="20"/>
                <w:szCs w:val="20"/>
                <w:lang w:val="en-US"/>
              </w:rPr>
            </w:pPr>
            <w:r w:rsidRPr="00452909">
              <w:rPr>
                <w:rFonts w:ascii="Times New Roman" w:hAnsi="Times New Roman" w:cs="Times New Roman"/>
                <w:b/>
                <w:lang w:val="en-US"/>
              </w:rPr>
              <w:t>National Target 2:</w:t>
            </w:r>
            <w:r w:rsidRPr="000A0C9F">
              <w:rPr>
                <w:rFonts w:ascii="Times New Roman" w:hAnsi="Times New Roman" w:cs="Times New Roman"/>
                <w:lang w:val="en-US"/>
              </w:rPr>
              <w:t xml:space="preserve"> By 2020, at the latest, biodiversity values, geo-diversity values, and socio-diversity values have been integrated into national and local development and poverty reduction and inequality reduction strategies, and are being incorporated into national accounting, as appropriate, and into planning procedures and reporting systems.</w:t>
            </w:r>
          </w:p>
        </w:tc>
        <w:tc>
          <w:tcPr>
            <w:tcW w:w="4322" w:type="dxa"/>
            <w:vAlign w:val="center"/>
          </w:tcPr>
          <w:p w:rsidR="00625722" w:rsidRPr="005F34CB" w:rsidRDefault="00625722" w:rsidP="00290342">
            <w:pPr>
              <w:spacing w:before="120" w:after="120"/>
              <w:jc w:val="center"/>
              <w:rPr>
                <w:rFonts w:ascii="Times New Roman" w:hAnsi="Times New Roman" w:cs="Times New Roman"/>
                <w:sz w:val="20"/>
                <w:szCs w:val="20"/>
                <w:lang w:val="en-US"/>
              </w:rPr>
            </w:pPr>
            <w:r>
              <w:rPr>
                <w:noProof/>
                <w:lang w:eastAsia="pt-BR"/>
              </w:rPr>
              <w:drawing>
                <wp:inline distT="0" distB="0" distL="0" distR="0" wp14:anchorId="0D88D665" wp14:editId="55959D28">
                  <wp:extent cx="388188" cy="388188"/>
                  <wp:effectExtent l="0" t="0" r="0" b="0"/>
                  <wp:docPr id="52" name="Imagem 52" descr="circulo_na_metad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circulo_na_metade.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662" cy="384662"/>
                          </a:xfrm>
                          <a:prstGeom prst="rect">
                            <a:avLst/>
                          </a:prstGeom>
                          <a:noFill/>
                          <a:ln>
                            <a:noFill/>
                          </a:ln>
                        </pic:spPr>
                      </pic:pic>
                    </a:graphicData>
                  </a:graphic>
                </wp:inline>
              </w:drawing>
            </w:r>
          </w:p>
        </w:tc>
      </w:tr>
      <w:tr w:rsidR="00625722" w:rsidRPr="00BD4FF1" w:rsidTr="00290342">
        <w:tc>
          <w:tcPr>
            <w:tcW w:w="4322" w:type="dxa"/>
            <w:shd w:val="clear" w:color="auto" w:fill="EAF1DD" w:themeFill="accent3" w:themeFillTint="33"/>
          </w:tcPr>
          <w:p w:rsidR="00625722" w:rsidRPr="00452909" w:rsidRDefault="00625722" w:rsidP="00290342">
            <w:pPr>
              <w:spacing w:before="120" w:after="120"/>
              <w:jc w:val="both"/>
              <w:rPr>
                <w:rFonts w:ascii="Times New Roman" w:hAnsi="Times New Roman" w:cs="Times New Roman"/>
                <w:b/>
                <w:lang w:val="en-US"/>
              </w:rPr>
            </w:pPr>
            <w:r>
              <w:rPr>
                <w:rFonts w:ascii="Times New Roman" w:hAnsi="Times New Roman" w:cs="Times New Roman"/>
                <w:b/>
                <w:lang w:val="en-US"/>
              </w:rPr>
              <w:t xml:space="preserve">Global Aichi Target 2: </w:t>
            </w:r>
            <w:r w:rsidRPr="00BD4FF1">
              <w:rPr>
                <w:rFonts w:ascii="Times New Roman" w:hAnsi="Times New Roman" w:cs="Times New Roman"/>
                <w:lang w:val="en-US"/>
              </w:rPr>
              <w:t>By 2020, at the latest, biodiversity values have been integrated into national and local development and poverty reduction strategies and planning processes and are being incorporated into national accounting, as appropriate, and reporting systems</w:t>
            </w:r>
            <w:r>
              <w:rPr>
                <w:rFonts w:ascii="Times New Roman" w:hAnsi="Times New Roman" w:cs="Times New Roman"/>
                <w:lang w:val="en-US"/>
              </w:rPr>
              <w:t>.</w:t>
            </w:r>
          </w:p>
        </w:tc>
        <w:tc>
          <w:tcPr>
            <w:tcW w:w="4322" w:type="dxa"/>
            <w:vAlign w:val="center"/>
          </w:tcPr>
          <w:p w:rsidR="00625722" w:rsidRPr="00BD4FF1" w:rsidRDefault="00625722" w:rsidP="00290342">
            <w:pPr>
              <w:spacing w:before="120" w:after="120"/>
              <w:jc w:val="center"/>
              <w:rPr>
                <w:noProof/>
                <w:lang w:val="en-US" w:eastAsia="pt-BR"/>
              </w:rPr>
            </w:pPr>
            <w:r>
              <w:rPr>
                <w:noProof/>
                <w:lang w:eastAsia="pt-BR"/>
              </w:rPr>
              <w:drawing>
                <wp:inline distT="0" distB="0" distL="0" distR="0" wp14:anchorId="67BAF7C6" wp14:editId="0AC04485">
                  <wp:extent cx="388188" cy="388188"/>
                  <wp:effectExtent l="0" t="0" r="0" b="0"/>
                  <wp:docPr id="61" name="Imagem 61" descr="circulo_na_metad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circulo_na_metade.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662" cy="384662"/>
                          </a:xfrm>
                          <a:prstGeom prst="rect">
                            <a:avLst/>
                          </a:prstGeom>
                          <a:noFill/>
                          <a:ln>
                            <a:noFill/>
                          </a:ln>
                        </pic:spPr>
                      </pic:pic>
                    </a:graphicData>
                  </a:graphic>
                </wp:inline>
              </w:drawing>
            </w:r>
          </w:p>
        </w:tc>
      </w:tr>
    </w:tbl>
    <w:p w:rsidR="00625722" w:rsidRDefault="00625722" w:rsidP="00625722">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mentioned for Target 1, various efforts are being carried out to generate and disseminate knowledge on biodiversity value to different target audiences, such as the Brazil TEEB Initiative, PESE and </w:t>
      </w:r>
      <w:proofErr w:type="spellStart"/>
      <w:r>
        <w:rPr>
          <w:rFonts w:ascii="Times New Roman" w:hAnsi="Times New Roman" w:cs="Times New Roman"/>
          <w:sz w:val="24"/>
          <w:szCs w:val="24"/>
          <w:lang w:val="en-US"/>
        </w:rPr>
        <w:t>TeSE</w:t>
      </w:r>
      <w:proofErr w:type="spellEnd"/>
      <w:r>
        <w:rPr>
          <w:rFonts w:ascii="Times New Roman" w:hAnsi="Times New Roman" w:cs="Times New Roman"/>
          <w:sz w:val="24"/>
          <w:szCs w:val="24"/>
          <w:lang w:val="en-US"/>
        </w:rPr>
        <w:t xml:space="preserve"> (see section 1.2.1.2), which are now generating initial results and should significantly contribute, within the next few years, to a better understanding among private and governmental economic sectors of the value of biodiversity.</w:t>
      </w:r>
    </w:p>
    <w:p w:rsidR="00625722" w:rsidRDefault="00625722" w:rsidP="00625722">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Since 2002, Brazil is investing in the integration of an ecosystem approach into economic development, by coordinating and promoting the development of Ecological-Economic Zoning initiatives with the objective to reduce potential conflicts over resource use and prevent excessive impact on ecosystems and biodiversity. Resulting maps and guidelines are made available as territorial planning tools to guide the development of policies, infrastructure and economic development investments, and land use with a view to the sustainable use of natural resources (see section 1.4.5). The periodically updated Map of Priority Areas for the Conservation and Sustainable Use of Brazilian Biodiversity is another important tool to inform development policies.</w:t>
      </w:r>
    </w:p>
    <w:p w:rsidR="00625722" w:rsidRDefault="00625722" w:rsidP="00625722">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Additionally, various federal policies have been established and implemented in the past several years to promote biodiversity-based and socio-biodiversity products, extractive activities, family rural production, governmental food acquisition programs, agrobiodiversity, traditional knowledge and products, and other sectors and themes targeting the sustainable use of biodiversity and poverty and inequality reduction (see sections 1.2.1.2, 1.2.4 and 1.4.7).</w:t>
      </w:r>
    </w:p>
    <w:p w:rsidR="00625722" w:rsidRDefault="00625722" w:rsidP="00625722">
      <w:pPr>
        <w:spacing w:before="120" w:after="120"/>
        <w:jc w:val="both"/>
        <w:rPr>
          <w:rFonts w:ascii="Times New Roman" w:hAnsi="Times New Roman" w:cs="Times New Roman"/>
          <w:sz w:val="24"/>
          <w:szCs w:val="24"/>
          <w:lang w:val="en-US"/>
        </w:rPr>
      </w:pPr>
    </w:p>
    <w:tbl>
      <w:tblPr>
        <w:tblStyle w:val="Tabelacomgrade"/>
        <w:tblW w:w="0" w:type="auto"/>
        <w:tblLook w:val="04A0" w:firstRow="1" w:lastRow="0" w:firstColumn="1" w:lastColumn="0" w:noHBand="0" w:noVBand="1"/>
      </w:tblPr>
      <w:tblGrid>
        <w:gridCol w:w="4322"/>
        <w:gridCol w:w="4322"/>
      </w:tblGrid>
      <w:tr w:rsidR="00625722" w:rsidRPr="002A42E9" w:rsidTr="00290342">
        <w:tc>
          <w:tcPr>
            <w:tcW w:w="4322" w:type="dxa"/>
            <w:shd w:val="clear" w:color="auto" w:fill="C2D69B" w:themeFill="accent3" w:themeFillTint="99"/>
          </w:tcPr>
          <w:p w:rsidR="00625722" w:rsidRDefault="00625722" w:rsidP="00290342">
            <w:pPr>
              <w:spacing w:before="120" w:after="120"/>
              <w:jc w:val="both"/>
              <w:rPr>
                <w:rFonts w:ascii="Times New Roman" w:hAnsi="Times New Roman" w:cs="Times New Roman"/>
                <w:sz w:val="24"/>
                <w:szCs w:val="24"/>
                <w:lang w:val="en-US"/>
              </w:rPr>
            </w:pPr>
            <w:r w:rsidRPr="00452909">
              <w:rPr>
                <w:rFonts w:ascii="Times New Roman" w:hAnsi="Times New Roman" w:cs="Times New Roman"/>
                <w:b/>
                <w:lang w:val="en-US"/>
              </w:rPr>
              <w:t>National Target 3:</w:t>
            </w:r>
            <w:r w:rsidRPr="000A0C9F">
              <w:rPr>
                <w:rFonts w:ascii="Times New Roman" w:hAnsi="Times New Roman" w:cs="Times New Roman"/>
                <w:lang w:val="en-US"/>
              </w:rPr>
              <w:t xml:space="preserve"> By 2020, at the latest, incentives harmful to biodiversity, including the so-called perverse subsidies, are eliminated, phased out or reformed in order to minimize negative impacts. Positive incentives for the conservation and sustainable use of biodiversity are developed and applied, consistent and in harmony with the CBD, taking into account national and regional socio economic conditions.</w:t>
            </w:r>
          </w:p>
        </w:tc>
        <w:tc>
          <w:tcPr>
            <w:tcW w:w="4322" w:type="dxa"/>
            <w:vAlign w:val="center"/>
          </w:tcPr>
          <w:p w:rsidR="00625722" w:rsidRDefault="00625722" w:rsidP="00290342">
            <w:pPr>
              <w:spacing w:before="120" w:after="120"/>
              <w:jc w:val="center"/>
              <w:rPr>
                <w:rFonts w:ascii="Times New Roman" w:hAnsi="Times New Roman" w:cs="Times New Roman"/>
                <w:sz w:val="24"/>
                <w:szCs w:val="24"/>
                <w:lang w:val="en-US"/>
              </w:rPr>
            </w:pPr>
            <w:r>
              <w:rPr>
                <w:noProof/>
                <w:sz w:val="18"/>
                <w:lang w:eastAsia="pt-BR"/>
              </w:rPr>
              <w:drawing>
                <wp:inline distT="0" distB="0" distL="0" distR="0" wp14:anchorId="0D1150C6" wp14:editId="6C548715">
                  <wp:extent cx="422694" cy="422694"/>
                  <wp:effectExtent l="0" t="0" r="0" b="0"/>
                  <wp:docPr id="53" name="Imagem 53" descr="redfourthgre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dfourthgreen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9655" cy="419655"/>
                          </a:xfrm>
                          <a:prstGeom prst="rect">
                            <a:avLst/>
                          </a:prstGeom>
                          <a:noFill/>
                          <a:ln>
                            <a:noFill/>
                          </a:ln>
                        </pic:spPr>
                      </pic:pic>
                    </a:graphicData>
                  </a:graphic>
                </wp:inline>
              </w:drawing>
            </w:r>
          </w:p>
        </w:tc>
      </w:tr>
      <w:tr w:rsidR="00625722" w:rsidRPr="00E46F18" w:rsidTr="00290342">
        <w:tc>
          <w:tcPr>
            <w:tcW w:w="4322" w:type="dxa"/>
            <w:shd w:val="clear" w:color="auto" w:fill="EAF1DD" w:themeFill="accent3" w:themeFillTint="33"/>
          </w:tcPr>
          <w:p w:rsidR="00625722" w:rsidRPr="00452909" w:rsidRDefault="00625722" w:rsidP="00290342">
            <w:pPr>
              <w:spacing w:before="120" w:after="120"/>
              <w:jc w:val="both"/>
              <w:rPr>
                <w:rFonts w:ascii="Times New Roman" w:hAnsi="Times New Roman" w:cs="Times New Roman"/>
                <w:b/>
                <w:lang w:val="en-US"/>
              </w:rPr>
            </w:pPr>
            <w:r>
              <w:rPr>
                <w:rFonts w:ascii="Times New Roman" w:hAnsi="Times New Roman" w:cs="Times New Roman"/>
                <w:b/>
                <w:lang w:val="en-US"/>
              </w:rPr>
              <w:t xml:space="preserve">Global Aichi Target 3: </w:t>
            </w:r>
            <w:r w:rsidRPr="00E46F18">
              <w:rPr>
                <w:rFonts w:ascii="Times New Roman" w:hAnsi="Times New Roman" w:cs="Times New Roman"/>
                <w:lang w:val="en-US"/>
              </w:rPr>
              <w:t>By 2020, at the latest, incentives, including subsidies, harmful to biodiversity are eliminated, phased out or reformed in order to minimize or avoid negative impacts, and positive incentives for the conservation and sustainable use of biodiversity are developed and applied, consistent and in harmony with the Convention and other relevant international obligations, taking into account national socio economic conditions</w:t>
            </w:r>
            <w:r>
              <w:rPr>
                <w:rFonts w:ascii="Times New Roman" w:hAnsi="Times New Roman" w:cs="Times New Roman"/>
                <w:lang w:val="en-US"/>
              </w:rPr>
              <w:t>.</w:t>
            </w:r>
          </w:p>
        </w:tc>
        <w:tc>
          <w:tcPr>
            <w:tcW w:w="4322" w:type="dxa"/>
            <w:vAlign w:val="center"/>
          </w:tcPr>
          <w:p w:rsidR="00625722" w:rsidRPr="00E46F18" w:rsidRDefault="00625722" w:rsidP="00290342">
            <w:pPr>
              <w:spacing w:before="120" w:after="120"/>
              <w:jc w:val="center"/>
              <w:rPr>
                <w:noProof/>
                <w:sz w:val="18"/>
                <w:lang w:val="en-US" w:eastAsia="pt-BR"/>
              </w:rPr>
            </w:pPr>
            <w:r>
              <w:rPr>
                <w:noProof/>
                <w:sz w:val="18"/>
                <w:lang w:eastAsia="pt-BR"/>
              </w:rPr>
              <w:drawing>
                <wp:inline distT="0" distB="0" distL="0" distR="0" wp14:anchorId="01CF1197" wp14:editId="7FE282FA">
                  <wp:extent cx="422694" cy="422694"/>
                  <wp:effectExtent l="0" t="0" r="0" b="0"/>
                  <wp:docPr id="62" name="Imagem 62" descr="redfourthgre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dfourthgreen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9655" cy="419655"/>
                          </a:xfrm>
                          <a:prstGeom prst="rect">
                            <a:avLst/>
                          </a:prstGeom>
                          <a:noFill/>
                          <a:ln>
                            <a:noFill/>
                          </a:ln>
                        </pic:spPr>
                      </pic:pic>
                    </a:graphicData>
                  </a:graphic>
                </wp:inline>
              </w:drawing>
            </w:r>
          </w:p>
        </w:tc>
      </w:tr>
    </w:tbl>
    <w:p w:rsidR="00625722" w:rsidRDefault="00625722" w:rsidP="00625722">
      <w:pPr>
        <w:spacing w:before="120" w:after="1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As a contribution to SBSTTA-18, </w:t>
      </w:r>
      <w:r w:rsidRPr="002A42E9">
        <w:rPr>
          <w:rFonts w:ascii="Times New Roman" w:hAnsi="Times New Roman" w:cs="Times New Roman"/>
          <w:sz w:val="24"/>
          <w:szCs w:val="24"/>
          <w:lang w:val="en-US"/>
        </w:rPr>
        <w:t>May and Weiss (2014)</w:t>
      </w:r>
      <w:r>
        <w:rPr>
          <w:rStyle w:val="Refdenotaderodap"/>
          <w:rFonts w:ascii="Times New Roman" w:hAnsi="Times New Roman" w:cs="Times New Roman"/>
          <w:szCs w:val="24"/>
          <w:lang w:val="en-US"/>
        </w:rPr>
        <w:footnoteReference w:id="2"/>
      </w:r>
      <w:r w:rsidRPr="002A42E9">
        <w:rPr>
          <w:rFonts w:ascii="Times New Roman" w:hAnsi="Times New Roman" w:cs="Times New Roman"/>
          <w:sz w:val="24"/>
          <w:szCs w:val="24"/>
          <w:lang w:val="en-US"/>
        </w:rPr>
        <w:t xml:space="preserve"> prepared an analysis o</w:t>
      </w:r>
      <w:r>
        <w:rPr>
          <w:rFonts w:ascii="Times New Roman" w:hAnsi="Times New Roman" w:cs="Times New Roman"/>
          <w:sz w:val="24"/>
          <w:szCs w:val="24"/>
          <w:lang w:val="en-US"/>
        </w:rPr>
        <w:t>f Brazil’s initiatives to address perverse subsidies and positive incentives for the conservation and sustainable use of biodiversity.</w:t>
      </w:r>
      <w:proofErr w:type="gramEnd"/>
      <w:r>
        <w:rPr>
          <w:rFonts w:ascii="Times New Roman" w:hAnsi="Times New Roman" w:cs="Times New Roman"/>
          <w:sz w:val="24"/>
          <w:szCs w:val="24"/>
          <w:lang w:val="en-US"/>
        </w:rPr>
        <w:t xml:space="preserve"> The analysis concludes that Brazil is successfully implementing several important initiatives in efforts to mainstream values of biodiversity and ecosystem services in fiscal and credit policies. These have included: the creation of a national initiative for the conservation and sustainable use of the Natural Capital (the national, regional and corporate TEEB programs); a GEF project for mainstreaming of biodiversity conservation and sustainable use in key economic sectors; the Green Protocol (</w:t>
      </w:r>
      <w:proofErr w:type="spellStart"/>
      <w:r>
        <w:rPr>
          <w:rFonts w:ascii="Times New Roman" w:hAnsi="Times New Roman" w:cs="Times New Roman"/>
          <w:i/>
          <w:sz w:val="24"/>
          <w:szCs w:val="24"/>
          <w:lang w:val="en-US"/>
        </w:rPr>
        <w:t>Protocolo</w:t>
      </w:r>
      <w:proofErr w:type="spellEnd"/>
      <w:r>
        <w:rPr>
          <w:rFonts w:ascii="Times New Roman" w:hAnsi="Times New Roman" w:cs="Times New Roman"/>
          <w:i/>
          <w:sz w:val="24"/>
          <w:szCs w:val="24"/>
          <w:lang w:val="en-US"/>
        </w:rPr>
        <w:t xml:space="preserve"> Verde</w:t>
      </w:r>
      <w:r>
        <w:rPr>
          <w:rFonts w:ascii="Times New Roman" w:hAnsi="Times New Roman" w:cs="Times New Roman"/>
          <w:sz w:val="24"/>
          <w:szCs w:val="24"/>
          <w:lang w:val="en-US"/>
        </w:rPr>
        <w:t xml:space="preserve">) to internalize environmental </w:t>
      </w:r>
      <w:r>
        <w:rPr>
          <w:rFonts w:ascii="Times New Roman" w:hAnsi="Times New Roman" w:cs="Times New Roman"/>
          <w:sz w:val="24"/>
          <w:szCs w:val="24"/>
          <w:lang w:val="en-US"/>
        </w:rPr>
        <w:lastRenderedPageBreak/>
        <w:t>sustainability criteria within the public banking system; the creation of the Low Carbon Agriculture Plan (</w:t>
      </w:r>
      <w:r>
        <w:rPr>
          <w:rFonts w:ascii="Times New Roman" w:hAnsi="Times New Roman" w:cs="Times New Roman"/>
          <w:i/>
          <w:sz w:val="24"/>
          <w:szCs w:val="24"/>
          <w:lang w:val="en-US"/>
        </w:rPr>
        <w:t>Plano ABC</w:t>
      </w:r>
      <w:r>
        <w:rPr>
          <w:rFonts w:ascii="Times New Roman" w:hAnsi="Times New Roman" w:cs="Times New Roman"/>
          <w:sz w:val="24"/>
          <w:szCs w:val="24"/>
          <w:lang w:val="en-US"/>
        </w:rPr>
        <w:t>); a Resolution of the National Monetary Council – CMN (Resolution 3545/2008) to restrict credit to producers that do not comply with environmental regulations in the Amazon biome; the Federal Prosecutors pact with slaughterhouses and supermarkets to avoid buying meat from deforested areas (winner initiative of the public policy innovation prize in 2013); and the Amazon Fund for projects that contribute to protect Amazonian biodiversity; the Ecological VAT (</w:t>
      </w:r>
      <w:r w:rsidRPr="00D7551E">
        <w:rPr>
          <w:rFonts w:ascii="Times New Roman" w:hAnsi="Times New Roman" w:cs="Times New Roman"/>
          <w:i/>
          <w:sz w:val="24"/>
          <w:szCs w:val="24"/>
          <w:lang w:val="en-US"/>
        </w:rPr>
        <w:t xml:space="preserve">ICMS </w:t>
      </w:r>
      <w:proofErr w:type="spellStart"/>
      <w:r w:rsidRPr="00D7551E">
        <w:rPr>
          <w:rFonts w:ascii="Times New Roman" w:hAnsi="Times New Roman" w:cs="Times New Roman"/>
          <w:i/>
          <w:sz w:val="24"/>
          <w:szCs w:val="24"/>
          <w:lang w:val="en-US"/>
        </w:rPr>
        <w:t>Ecológico</w:t>
      </w:r>
      <w:proofErr w:type="spellEnd"/>
      <w:r>
        <w:rPr>
          <w:rFonts w:ascii="Times New Roman" w:hAnsi="Times New Roman" w:cs="Times New Roman"/>
          <w:sz w:val="24"/>
          <w:szCs w:val="24"/>
          <w:lang w:val="en-US"/>
        </w:rPr>
        <w:t xml:space="preserve">) that reallocates tax revenues to municipalities according to the proportion of protected area in municipal territory and other environmental criteria; among others. </w:t>
      </w:r>
    </w:p>
    <w:p w:rsidR="00625722" w:rsidRPr="002A42E9" w:rsidRDefault="00625722" w:rsidP="00625722">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However, these exemplify positive initiatives which compensate, to some degree, the prevailing negative incentives. Governmental guidelines for the upcoming investment period favor structural change in the underlying forces that continue to stimulate habitat modification. </w:t>
      </w:r>
      <w:proofErr w:type="gramStart"/>
      <w:r>
        <w:rPr>
          <w:rFonts w:ascii="Times New Roman" w:hAnsi="Times New Roman" w:cs="Times New Roman"/>
          <w:sz w:val="24"/>
          <w:szCs w:val="24"/>
          <w:lang w:val="en-US"/>
        </w:rPr>
        <w:t>Publicly supported investments in hydroelectric power plants, roads and other infrastructure act as strong incentives to unchecked expansion in deforestation and other changes in land use arising from increased accessibility, thus contributing to forces that reduce biodiversity.</w:t>
      </w:r>
      <w:proofErr w:type="gramEnd"/>
      <w:r>
        <w:rPr>
          <w:rFonts w:ascii="Times New Roman" w:hAnsi="Times New Roman" w:cs="Times New Roman"/>
          <w:sz w:val="24"/>
          <w:szCs w:val="24"/>
          <w:lang w:val="en-US"/>
        </w:rPr>
        <w:t xml:space="preserve"> Brazil plans to invest in nearly 500 new hydroelectric dams, of which 182 are already in operation, and agriculture continues to impact land use conversion, climate, water availability, natural predators and pollinators. A number of incentive measures to the agricultural sector have been implemented whose results have been contrary to policies to combat the loss of biodiversity and habitats. Despite marine and coastal protected areas, fish stocks are also declining due to incentives to overfish, and</w:t>
      </w:r>
      <w:r w:rsidRPr="002C081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riverine, wetland and mangrove biodiversity are being modified by dams and other changes in water regimes, aquaculture in mangrove areas, and coastal development. The Rural Land Tax (ITR), although not very significant, serves as a disincentive for improper land use as ITR is higher for “unproductive” land than for land under agricultural production, even though the former may contribute significantly for the protection of natural capital. The tax exemption for legally required Permanent Protection Areas and Legal Reserves in rural properties and for Private Reserves of the Natural Heritage – RPPN, compensates in part for the opportunity cost associated with more intensive land uses, but it is so minuscule in value that its positive incentive is minimal.  </w:t>
      </w:r>
    </w:p>
    <w:p w:rsidR="00625722" w:rsidRPr="002A42E9" w:rsidRDefault="00625722" w:rsidP="00625722">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Additional examples of Brazilian efforts to develop and implement tools to promote and enable the integration of environmental aspects in development projects and the production sector would be: the preparation of regional and state Environmental-Economic Zoning to guide development decision making; socio-environmental programs such as the Green Grant (</w:t>
      </w:r>
      <w:proofErr w:type="spellStart"/>
      <w:r>
        <w:rPr>
          <w:rFonts w:ascii="Times New Roman" w:hAnsi="Times New Roman" w:cs="Times New Roman"/>
          <w:i/>
          <w:sz w:val="24"/>
          <w:szCs w:val="24"/>
          <w:lang w:val="en-US"/>
        </w:rPr>
        <w:t>Bolsa</w:t>
      </w:r>
      <w:proofErr w:type="spellEnd"/>
      <w:r>
        <w:rPr>
          <w:rFonts w:ascii="Times New Roman" w:hAnsi="Times New Roman" w:cs="Times New Roman"/>
          <w:i/>
          <w:sz w:val="24"/>
          <w:szCs w:val="24"/>
          <w:lang w:val="en-US"/>
        </w:rPr>
        <w:t xml:space="preserve"> Verde</w:t>
      </w:r>
      <w:r>
        <w:rPr>
          <w:rFonts w:ascii="Times New Roman" w:hAnsi="Times New Roman" w:cs="Times New Roman"/>
          <w:sz w:val="24"/>
          <w:szCs w:val="24"/>
          <w:lang w:val="en-US"/>
        </w:rPr>
        <w:t>), Water Producer Program (</w:t>
      </w:r>
      <w:proofErr w:type="spellStart"/>
      <w:r>
        <w:rPr>
          <w:rFonts w:ascii="Times New Roman" w:hAnsi="Times New Roman" w:cs="Times New Roman"/>
          <w:i/>
          <w:sz w:val="24"/>
          <w:szCs w:val="24"/>
          <w:lang w:val="en-US"/>
        </w:rPr>
        <w:t>Produtor</w:t>
      </w:r>
      <w:proofErr w:type="spellEnd"/>
      <w:r>
        <w:rPr>
          <w:rFonts w:ascii="Times New Roman" w:hAnsi="Times New Roman" w:cs="Times New Roman"/>
          <w:i/>
          <w:sz w:val="24"/>
          <w:szCs w:val="24"/>
          <w:lang w:val="en-US"/>
        </w:rPr>
        <w:t xml:space="preserve"> de </w:t>
      </w:r>
      <w:proofErr w:type="spellStart"/>
      <w:r>
        <w:rPr>
          <w:rFonts w:ascii="Times New Roman" w:hAnsi="Times New Roman" w:cs="Times New Roman"/>
          <w:i/>
          <w:sz w:val="24"/>
          <w:szCs w:val="24"/>
          <w:lang w:val="en-US"/>
        </w:rPr>
        <w:t>Água</w:t>
      </w:r>
      <w:proofErr w:type="spellEnd"/>
      <w:r>
        <w:rPr>
          <w:rFonts w:ascii="Times New Roman" w:hAnsi="Times New Roman" w:cs="Times New Roman"/>
          <w:sz w:val="24"/>
          <w:szCs w:val="24"/>
          <w:lang w:val="en-US"/>
        </w:rPr>
        <w:t>) and Amazonas state’s Forest Grant (</w:t>
      </w:r>
      <w:proofErr w:type="spellStart"/>
      <w:r>
        <w:rPr>
          <w:rFonts w:ascii="Times New Roman" w:hAnsi="Times New Roman" w:cs="Times New Roman"/>
          <w:i/>
          <w:sz w:val="24"/>
          <w:szCs w:val="24"/>
          <w:lang w:val="en-US"/>
        </w:rPr>
        <w:t>Bolsa</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Floresta</w:t>
      </w:r>
      <w:proofErr w:type="spellEnd"/>
      <w:r>
        <w:rPr>
          <w:rFonts w:ascii="Times New Roman" w:hAnsi="Times New Roman" w:cs="Times New Roman"/>
          <w:sz w:val="24"/>
          <w:szCs w:val="24"/>
          <w:lang w:val="en-US"/>
        </w:rPr>
        <w:t xml:space="preserve">); the Minimum Price Policy for </w:t>
      </w:r>
      <w:proofErr w:type="spellStart"/>
      <w:r>
        <w:rPr>
          <w:rFonts w:ascii="Times New Roman" w:hAnsi="Times New Roman" w:cs="Times New Roman"/>
          <w:sz w:val="24"/>
          <w:szCs w:val="24"/>
          <w:lang w:val="en-US"/>
        </w:rPr>
        <w:t>Sociobiodiversity</w:t>
      </w:r>
      <w:proofErr w:type="spellEnd"/>
      <w:r>
        <w:rPr>
          <w:rFonts w:ascii="Times New Roman" w:hAnsi="Times New Roman" w:cs="Times New Roman"/>
          <w:sz w:val="24"/>
          <w:szCs w:val="24"/>
          <w:lang w:val="en-US"/>
        </w:rPr>
        <w:t xml:space="preserve">-based Products – </w:t>
      </w:r>
      <w:proofErr w:type="spellStart"/>
      <w:r>
        <w:rPr>
          <w:rFonts w:ascii="Times New Roman" w:hAnsi="Times New Roman" w:cs="Times New Roman"/>
          <w:sz w:val="24"/>
          <w:szCs w:val="24"/>
          <w:lang w:val="en-US"/>
        </w:rPr>
        <w:t>PGPMBio</w:t>
      </w:r>
      <w:proofErr w:type="spellEnd"/>
      <w:r>
        <w:rPr>
          <w:rFonts w:ascii="Times New Roman" w:hAnsi="Times New Roman" w:cs="Times New Roman"/>
          <w:sz w:val="24"/>
          <w:szCs w:val="24"/>
          <w:lang w:val="en-US"/>
        </w:rPr>
        <w:t>; and the federal Food Acquisition Program – PAA and National Program for School Nutrition – PNEA (see sections 1.2.1.2, 1.4.1.1, 1.4.7).</w:t>
      </w:r>
    </w:p>
    <w:p w:rsidR="00625722" w:rsidRDefault="00625722" w:rsidP="00625722">
      <w:pPr>
        <w:spacing w:before="120" w:after="120"/>
        <w:jc w:val="both"/>
        <w:rPr>
          <w:rFonts w:ascii="Times New Roman" w:hAnsi="Times New Roman" w:cs="Times New Roman"/>
          <w:sz w:val="24"/>
          <w:szCs w:val="24"/>
          <w:lang w:val="en-US"/>
        </w:rPr>
      </w:pPr>
    </w:p>
    <w:tbl>
      <w:tblPr>
        <w:tblStyle w:val="Tabelacomgrade"/>
        <w:tblW w:w="0" w:type="auto"/>
        <w:tblLook w:val="04A0" w:firstRow="1" w:lastRow="0" w:firstColumn="1" w:lastColumn="0" w:noHBand="0" w:noVBand="1"/>
      </w:tblPr>
      <w:tblGrid>
        <w:gridCol w:w="4322"/>
        <w:gridCol w:w="4322"/>
      </w:tblGrid>
      <w:tr w:rsidR="00625722" w:rsidRPr="00A8469E" w:rsidTr="00290342">
        <w:tc>
          <w:tcPr>
            <w:tcW w:w="4322" w:type="dxa"/>
            <w:shd w:val="clear" w:color="auto" w:fill="C2D69B" w:themeFill="accent3" w:themeFillTint="99"/>
          </w:tcPr>
          <w:p w:rsidR="00625722" w:rsidRDefault="00625722" w:rsidP="00290342">
            <w:pPr>
              <w:spacing w:before="120" w:after="120"/>
              <w:jc w:val="both"/>
              <w:rPr>
                <w:rFonts w:ascii="Times New Roman" w:hAnsi="Times New Roman" w:cs="Times New Roman"/>
                <w:sz w:val="24"/>
                <w:szCs w:val="24"/>
                <w:lang w:val="en-US"/>
              </w:rPr>
            </w:pPr>
            <w:r w:rsidRPr="00452909">
              <w:rPr>
                <w:rFonts w:ascii="Times New Roman" w:hAnsi="Times New Roman" w:cs="Times New Roman"/>
                <w:b/>
                <w:lang w:val="en-US"/>
              </w:rPr>
              <w:t>National Target 4:</w:t>
            </w:r>
            <w:r w:rsidRPr="000A0C9F">
              <w:rPr>
                <w:rFonts w:ascii="Times New Roman" w:hAnsi="Times New Roman" w:cs="Times New Roman"/>
                <w:lang w:val="en-US"/>
              </w:rPr>
              <w:t xml:space="preserve"> By 2020, at the latest, governments, private sector and stakeholders at all levels have taken steps to achieve or have implemented plans for sustainable production and consumption to mitigate or prevent negative impacts from the use of natural resources.</w:t>
            </w:r>
          </w:p>
        </w:tc>
        <w:tc>
          <w:tcPr>
            <w:tcW w:w="4322" w:type="dxa"/>
            <w:vAlign w:val="center"/>
          </w:tcPr>
          <w:p w:rsidR="00625722" w:rsidRDefault="00625722" w:rsidP="00290342">
            <w:pPr>
              <w:spacing w:before="120" w:after="120"/>
              <w:jc w:val="center"/>
              <w:rPr>
                <w:rFonts w:ascii="Times New Roman" w:hAnsi="Times New Roman" w:cs="Times New Roman"/>
                <w:sz w:val="24"/>
                <w:szCs w:val="24"/>
                <w:lang w:val="en-US"/>
              </w:rPr>
            </w:pPr>
            <w:r>
              <w:rPr>
                <w:noProof/>
                <w:lang w:eastAsia="pt-BR"/>
              </w:rPr>
              <w:drawing>
                <wp:inline distT="0" distB="0" distL="0" distR="0" wp14:anchorId="2FC7A8B6" wp14:editId="19A00A23">
                  <wp:extent cx="405517" cy="405517"/>
                  <wp:effectExtent l="0" t="0" r="0" b="0"/>
                  <wp:docPr id="63" name="Imagem 63" descr="circulo_na_metad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circulo_na_metade.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4812" cy="404812"/>
                          </a:xfrm>
                          <a:prstGeom prst="rect">
                            <a:avLst/>
                          </a:prstGeom>
                          <a:noFill/>
                          <a:ln>
                            <a:noFill/>
                          </a:ln>
                        </pic:spPr>
                      </pic:pic>
                    </a:graphicData>
                  </a:graphic>
                </wp:inline>
              </w:drawing>
            </w:r>
          </w:p>
        </w:tc>
      </w:tr>
      <w:tr w:rsidR="00625722" w:rsidRPr="00E46F18" w:rsidTr="00290342">
        <w:tc>
          <w:tcPr>
            <w:tcW w:w="4322" w:type="dxa"/>
            <w:shd w:val="clear" w:color="auto" w:fill="EAF1DD" w:themeFill="accent3" w:themeFillTint="33"/>
          </w:tcPr>
          <w:p w:rsidR="00625722" w:rsidRPr="00452909" w:rsidRDefault="00625722" w:rsidP="00290342">
            <w:pPr>
              <w:spacing w:before="120" w:after="120"/>
              <w:jc w:val="both"/>
              <w:rPr>
                <w:rFonts w:ascii="Times New Roman" w:hAnsi="Times New Roman" w:cs="Times New Roman"/>
                <w:b/>
                <w:lang w:val="en-US"/>
              </w:rPr>
            </w:pPr>
            <w:r>
              <w:rPr>
                <w:rFonts w:ascii="Times New Roman" w:hAnsi="Times New Roman" w:cs="Times New Roman"/>
                <w:b/>
                <w:lang w:val="en-US"/>
              </w:rPr>
              <w:lastRenderedPageBreak/>
              <w:t xml:space="preserve">Global Aichi Target 4: </w:t>
            </w:r>
            <w:r w:rsidRPr="00E46F18">
              <w:rPr>
                <w:rFonts w:ascii="Times New Roman" w:hAnsi="Times New Roman" w:cs="Times New Roman"/>
                <w:lang w:val="en-US"/>
              </w:rPr>
              <w:t>By 2020, at the latest, Governments, business and stakeholders at all levels have taken steps to achieve or have implemented plans for sustainable production and consumption and have kept the impacts of use of natural resources well within safe ecological limits</w:t>
            </w:r>
            <w:r>
              <w:rPr>
                <w:rFonts w:ascii="Times New Roman" w:hAnsi="Times New Roman" w:cs="Times New Roman"/>
                <w:lang w:val="en-US"/>
              </w:rPr>
              <w:t>.</w:t>
            </w:r>
          </w:p>
        </w:tc>
        <w:tc>
          <w:tcPr>
            <w:tcW w:w="4322" w:type="dxa"/>
            <w:vAlign w:val="center"/>
          </w:tcPr>
          <w:p w:rsidR="00625722" w:rsidRDefault="00625722" w:rsidP="00290342">
            <w:pPr>
              <w:spacing w:before="120" w:after="120"/>
              <w:jc w:val="center"/>
              <w:rPr>
                <w:rFonts w:ascii="Times New Roman" w:hAnsi="Times New Roman" w:cs="Times New Roman"/>
                <w:sz w:val="24"/>
                <w:szCs w:val="24"/>
                <w:lang w:val="en-US"/>
              </w:rPr>
            </w:pPr>
            <w:r>
              <w:rPr>
                <w:noProof/>
                <w:lang w:eastAsia="pt-BR"/>
              </w:rPr>
              <w:drawing>
                <wp:inline distT="0" distB="0" distL="0" distR="0" wp14:anchorId="2BB1A726" wp14:editId="59662CC0">
                  <wp:extent cx="405517" cy="405517"/>
                  <wp:effectExtent l="0" t="0" r="0" b="0"/>
                  <wp:docPr id="64" name="Imagem 64" descr="circulo_na_metad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circulo_na_metade.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4812" cy="404812"/>
                          </a:xfrm>
                          <a:prstGeom prst="rect">
                            <a:avLst/>
                          </a:prstGeom>
                          <a:noFill/>
                          <a:ln>
                            <a:noFill/>
                          </a:ln>
                        </pic:spPr>
                      </pic:pic>
                    </a:graphicData>
                  </a:graphic>
                </wp:inline>
              </w:drawing>
            </w:r>
          </w:p>
        </w:tc>
      </w:tr>
    </w:tbl>
    <w:p w:rsidR="00625722" w:rsidRDefault="00625722" w:rsidP="00625722">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Various important initiatives and policies for the achievement of this Target have been developed and launched in the past several years at different governmental levels and by the private sector, although the degree and scope achieved to-date in implementation varies greatly.</w:t>
      </w:r>
    </w:p>
    <w:p w:rsidR="00625722" w:rsidRPr="00E106C9" w:rsidRDefault="00625722" w:rsidP="00625722">
      <w:pPr>
        <w:spacing w:before="120" w:after="120"/>
        <w:jc w:val="both"/>
        <w:rPr>
          <w:rFonts w:ascii="Times New Roman" w:hAnsi="Times New Roman" w:cs="Times New Roman"/>
          <w:sz w:val="24"/>
          <w:szCs w:val="24"/>
          <w:lang w:val="en-US"/>
        </w:rPr>
      </w:pPr>
      <w:r w:rsidRPr="00E106C9">
        <w:rPr>
          <w:rFonts w:ascii="Times New Roman" w:hAnsi="Times New Roman" w:cs="Times New Roman"/>
          <w:sz w:val="24"/>
          <w:szCs w:val="24"/>
          <w:lang w:val="en-US"/>
        </w:rPr>
        <w:t>The Action Plan for Sustainable Production and Consumption – PPCS (</w:t>
      </w:r>
      <w:r w:rsidRPr="00E106C9">
        <w:rPr>
          <w:rFonts w:ascii="Times New Roman" w:hAnsi="Times New Roman" w:cs="Times New Roman"/>
          <w:i/>
          <w:color w:val="000000"/>
          <w:sz w:val="24"/>
          <w:szCs w:val="24"/>
          <w:lang w:val="en-US"/>
        </w:rPr>
        <w:t xml:space="preserve">Plano de </w:t>
      </w:r>
      <w:proofErr w:type="spellStart"/>
      <w:r w:rsidRPr="00E106C9">
        <w:rPr>
          <w:rFonts w:ascii="Times New Roman" w:hAnsi="Times New Roman" w:cs="Times New Roman"/>
          <w:i/>
          <w:color w:val="000000"/>
          <w:sz w:val="24"/>
          <w:szCs w:val="24"/>
          <w:lang w:val="en-US"/>
        </w:rPr>
        <w:t>Ação</w:t>
      </w:r>
      <w:proofErr w:type="spellEnd"/>
      <w:r w:rsidRPr="00E106C9">
        <w:rPr>
          <w:rFonts w:ascii="Times New Roman" w:hAnsi="Times New Roman" w:cs="Times New Roman"/>
          <w:i/>
          <w:color w:val="000000"/>
          <w:sz w:val="24"/>
          <w:szCs w:val="24"/>
          <w:lang w:val="en-US"/>
        </w:rPr>
        <w:t xml:space="preserve"> para </w:t>
      </w:r>
      <w:proofErr w:type="spellStart"/>
      <w:r w:rsidRPr="00E106C9">
        <w:rPr>
          <w:rFonts w:ascii="Times New Roman" w:hAnsi="Times New Roman" w:cs="Times New Roman"/>
          <w:i/>
          <w:color w:val="000000"/>
          <w:sz w:val="24"/>
          <w:szCs w:val="24"/>
          <w:lang w:val="en-US"/>
        </w:rPr>
        <w:t>Produção</w:t>
      </w:r>
      <w:proofErr w:type="spellEnd"/>
      <w:r w:rsidRPr="00E106C9">
        <w:rPr>
          <w:rFonts w:ascii="Times New Roman" w:hAnsi="Times New Roman" w:cs="Times New Roman"/>
          <w:i/>
          <w:color w:val="000000"/>
          <w:sz w:val="24"/>
          <w:szCs w:val="24"/>
          <w:lang w:val="en-US"/>
        </w:rPr>
        <w:t xml:space="preserve"> e </w:t>
      </w:r>
      <w:proofErr w:type="spellStart"/>
      <w:r w:rsidRPr="00E106C9">
        <w:rPr>
          <w:rFonts w:ascii="Times New Roman" w:hAnsi="Times New Roman" w:cs="Times New Roman"/>
          <w:i/>
          <w:color w:val="000000"/>
          <w:sz w:val="24"/>
          <w:szCs w:val="24"/>
          <w:lang w:val="en-US"/>
        </w:rPr>
        <w:t>Consumo</w:t>
      </w:r>
      <w:proofErr w:type="spellEnd"/>
      <w:r w:rsidRPr="00E106C9">
        <w:rPr>
          <w:rFonts w:ascii="Times New Roman" w:hAnsi="Times New Roman" w:cs="Times New Roman"/>
          <w:i/>
          <w:color w:val="000000"/>
          <w:sz w:val="24"/>
          <w:szCs w:val="24"/>
          <w:lang w:val="en-US"/>
        </w:rPr>
        <w:t xml:space="preserve"> </w:t>
      </w:r>
      <w:proofErr w:type="spellStart"/>
      <w:r w:rsidRPr="00E106C9">
        <w:rPr>
          <w:rFonts w:ascii="Times New Roman" w:hAnsi="Times New Roman" w:cs="Times New Roman"/>
          <w:i/>
          <w:color w:val="000000"/>
          <w:sz w:val="24"/>
          <w:szCs w:val="24"/>
          <w:lang w:val="en-US"/>
        </w:rPr>
        <w:t>Sustentáveis</w:t>
      </w:r>
      <w:proofErr w:type="spellEnd"/>
      <w:r w:rsidRPr="00E106C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E106C9">
        <w:rPr>
          <w:rFonts w:ascii="Times New Roman" w:hAnsi="Times New Roman" w:cs="Times New Roman"/>
          <w:sz w:val="24"/>
          <w:szCs w:val="24"/>
          <w:lang w:val="en-US"/>
        </w:rPr>
        <w:t>provides guidance for</w:t>
      </w:r>
      <w:r>
        <w:rPr>
          <w:rFonts w:ascii="Times New Roman" w:hAnsi="Times New Roman" w:cs="Times New Roman"/>
          <w:sz w:val="24"/>
          <w:szCs w:val="24"/>
          <w:lang w:val="en-US"/>
        </w:rPr>
        <w:t xml:space="preserve"> the governmental and</w:t>
      </w:r>
      <w:r w:rsidRPr="00E106C9">
        <w:rPr>
          <w:rFonts w:ascii="Times New Roman" w:hAnsi="Times New Roman" w:cs="Times New Roman"/>
          <w:sz w:val="24"/>
          <w:szCs w:val="24"/>
          <w:lang w:val="en-US"/>
        </w:rPr>
        <w:t xml:space="preserve"> producti</w:t>
      </w:r>
      <w:r>
        <w:rPr>
          <w:rFonts w:ascii="Times New Roman" w:hAnsi="Times New Roman" w:cs="Times New Roman"/>
          <w:sz w:val="24"/>
          <w:szCs w:val="24"/>
          <w:lang w:val="en-US"/>
        </w:rPr>
        <w:t>on</w:t>
      </w:r>
      <w:r w:rsidRPr="00E106C9">
        <w:rPr>
          <w:rFonts w:ascii="Times New Roman" w:hAnsi="Times New Roman" w:cs="Times New Roman"/>
          <w:sz w:val="24"/>
          <w:szCs w:val="24"/>
          <w:lang w:val="en-US"/>
        </w:rPr>
        <w:t xml:space="preserve"> sector</w:t>
      </w:r>
      <w:r>
        <w:rPr>
          <w:rFonts w:ascii="Times New Roman" w:hAnsi="Times New Roman" w:cs="Times New Roman"/>
          <w:sz w:val="24"/>
          <w:szCs w:val="24"/>
          <w:lang w:val="en-US"/>
        </w:rPr>
        <w:t xml:space="preserve">s, and general society actions to direct Brazil toward more sustainable production and consumption patterns. The Plan creates synergy between environmental and development policies, particularly the National Climate Policy, National Solid Waste Policy and </w:t>
      </w:r>
      <w:proofErr w:type="spellStart"/>
      <w:r w:rsidRPr="00E106C9">
        <w:rPr>
          <w:rFonts w:ascii="Times New Roman" w:hAnsi="Times New Roman" w:cs="Times New Roman"/>
          <w:i/>
          <w:sz w:val="24"/>
          <w:szCs w:val="24"/>
          <w:lang w:val="en-US"/>
        </w:rPr>
        <w:t>Brasil</w:t>
      </w:r>
      <w:proofErr w:type="spellEnd"/>
      <w:r w:rsidRPr="00E106C9">
        <w:rPr>
          <w:rFonts w:ascii="Times New Roman" w:hAnsi="Times New Roman" w:cs="Times New Roman"/>
          <w:i/>
          <w:sz w:val="24"/>
          <w:szCs w:val="24"/>
          <w:lang w:val="en-US"/>
        </w:rPr>
        <w:t xml:space="preserve"> </w:t>
      </w:r>
      <w:proofErr w:type="spellStart"/>
      <w:r w:rsidRPr="00E106C9">
        <w:rPr>
          <w:rFonts w:ascii="Times New Roman" w:hAnsi="Times New Roman" w:cs="Times New Roman"/>
          <w:i/>
          <w:sz w:val="24"/>
          <w:szCs w:val="24"/>
          <w:lang w:val="en-US"/>
        </w:rPr>
        <w:t>Maior</w:t>
      </w:r>
      <w:proofErr w:type="spellEnd"/>
      <w:r>
        <w:rPr>
          <w:rFonts w:ascii="Times New Roman" w:hAnsi="Times New Roman" w:cs="Times New Roman"/>
          <w:sz w:val="24"/>
          <w:szCs w:val="24"/>
          <w:lang w:val="en-US"/>
        </w:rPr>
        <w:t xml:space="preserve"> Plan, contributing to the achievement of their targets through sustainable production practices and consumer’s engagement to this initiative. The following priorities were selected for the first phase of PPCS (2011-2014): Education for sustainable consumption; Sustainable public acquisitions; Environmental Agenda in Public Administration – A3P (</w:t>
      </w:r>
      <w:r w:rsidRPr="00E106C9">
        <w:rPr>
          <w:rFonts w:ascii="Times New Roman" w:hAnsi="Times New Roman" w:cs="Times New Roman"/>
          <w:i/>
          <w:color w:val="000000"/>
          <w:sz w:val="24"/>
          <w:szCs w:val="24"/>
          <w:lang w:val="en-US"/>
        </w:rPr>
        <w:t xml:space="preserve">Agenda </w:t>
      </w:r>
      <w:proofErr w:type="spellStart"/>
      <w:r w:rsidRPr="00E106C9">
        <w:rPr>
          <w:rFonts w:ascii="Times New Roman" w:hAnsi="Times New Roman" w:cs="Times New Roman"/>
          <w:i/>
          <w:color w:val="000000"/>
          <w:sz w:val="24"/>
          <w:szCs w:val="24"/>
          <w:lang w:val="en-US"/>
        </w:rPr>
        <w:t>Ambiental</w:t>
      </w:r>
      <w:proofErr w:type="spellEnd"/>
      <w:r w:rsidRPr="00E106C9">
        <w:rPr>
          <w:rFonts w:ascii="Times New Roman" w:hAnsi="Times New Roman" w:cs="Times New Roman"/>
          <w:i/>
          <w:color w:val="000000"/>
          <w:sz w:val="24"/>
          <w:szCs w:val="24"/>
          <w:lang w:val="en-US"/>
        </w:rPr>
        <w:t xml:space="preserve"> </w:t>
      </w:r>
      <w:proofErr w:type="spellStart"/>
      <w:proofErr w:type="gramStart"/>
      <w:r w:rsidRPr="00E106C9">
        <w:rPr>
          <w:rFonts w:ascii="Times New Roman" w:hAnsi="Times New Roman" w:cs="Times New Roman"/>
          <w:i/>
          <w:color w:val="000000"/>
          <w:sz w:val="24"/>
          <w:szCs w:val="24"/>
          <w:lang w:val="en-US"/>
        </w:rPr>
        <w:t>na</w:t>
      </w:r>
      <w:proofErr w:type="spellEnd"/>
      <w:proofErr w:type="gramEnd"/>
      <w:r w:rsidRPr="00E106C9">
        <w:rPr>
          <w:rFonts w:ascii="Times New Roman" w:hAnsi="Times New Roman" w:cs="Times New Roman"/>
          <w:i/>
          <w:color w:val="000000"/>
          <w:sz w:val="24"/>
          <w:szCs w:val="24"/>
          <w:lang w:val="en-US"/>
        </w:rPr>
        <w:t xml:space="preserve"> </w:t>
      </w:r>
      <w:proofErr w:type="spellStart"/>
      <w:r w:rsidRPr="00E106C9">
        <w:rPr>
          <w:rFonts w:ascii="Times New Roman" w:hAnsi="Times New Roman" w:cs="Times New Roman"/>
          <w:i/>
          <w:color w:val="000000"/>
          <w:sz w:val="24"/>
          <w:szCs w:val="24"/>
          <w:lang w:val="en-US"/>
        </w:rPr>
        <w:t>Administração</w:t>
      </w:r>
      <w:proofErr w:type="spellEnd"/>
      <w:r w:rsidRPr="00E106C9">
        <w:rPr>
          <w:rFonts w:ascii="Times New Roman" w:hAnsi="Times New Roman" w:cs="Times New Roman"/>
          <w:i/>
          <w:color w:val="000000"/>
          <w:sz w:val="24"/>
          <w:szCs w:val="24"/>
          <w:lang w:val="en-US"/>
        </w:rPr>
        <w:t xml:space="preserve"> </w:t>
      </w:r>
      <w:proofErr w:type="spellStart"/>
      <w:r w:rsidRPr="00E106C9">
        <w:rPr>
          <w:rFonts w:ascii="Times New Roman" w:hAnsi="Times New Roman" w:cs="Times New Roman"/>
          <w:i/>
          <w:color w:val="000000"/>
          <w:sz w:val="24"/>
          <w:szCs w:val="24"/>
          <w:lang w:val="en-US"/>
        </w:rPr>
        <w:t>Pública</w:t>
      </w:r>
      <w:proofErr w:type="spellEnd"/>
      <w:r>
        <w:rPr>
          <w:rFonts w:ascii="Times New Roman" w:hAnsi="Times New Roman" w:cs="Times New Roman"/>
          <w:sz w:val="24"/>
          <w:szCs w:val="24"/>
          <w:lang w:val="en-US"/>
        </w:rPr>
        <w:t>); Increase solid waste recycling; Sustainable retail trade; and Sustainable construction.</w:t>
      </w:r>
      <w:r>
        <w:rPr>
          <w:rStyle w:val="Refdenotaderodap"/>
          <w:rFonts w:ascii="Times New Roman" w:hAnsi="Times New Roman" w:cs="Times New Roman"/>
          <w:szCs w:val="24"/>
          <w:lang w:val="en-US"/>
        </w:rPr>
        <w:footnoteReference w:id="3"/>
      </w:r>
    </w:p>
    <w:p w:rsidR="00625722" w:rsidRDefault="00625722" w:rsidP="00625722">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Sustainable public acquisitions, responsible for an estimated 10% of the Brazilian GDP, have been increasingly used as a strategy to promote socially and environmentally sustainable production. In 2010, the publication of Normative Ruling 1/2010 by the Ministry of Planning (MPOG) represented an important advance by defining the environmental sustainability criteria to be applied in public procurement of goods and services, and contracts for public infrastructure works. For example, this legal instrument rules on criteria for the contracting of engineering services, with a view to save on the maintenance and operation of buildings, reduction of energy and water consumption, and use of technologies and materials that reduce environmental impact.</w:t>
      </w:r>
      <w:r>
        <w:rPr>
          <w:rStyle w:val="Refdenotaderodap"/>
          <w:rFonts w:ascii="Times New Roman" w:hAnsi="Times New Roman" w:cs="Times New Roman"/>
          <w:szCs w:val="24"/>
          <w:lang w:val="en-US"/>
        </w:rPr>
        <w:footnoteReference w:id="4"/>
      </w:r>
    </w:p>
    <w:p w:rsidR="00625722" w:rsidRPr="00E106C9" w:rsidRDefault="00625722" w:rsidP="00625722">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National Policy on Solid Waste (PNRS – </w:t>
      </w:r>
      <w:proofErr w:type="spellStart"/>
      <w:r>
        <w:rPr>
          <w:rFonts w:ascii="Times New Roman" w:hAnsi="Times New Roman" w:cs="Times New Roman"/>
          <w:i/>
          <w:sz w:val="24"/>
          <w:szCs w:val="24"/>
          <w:lang w:val="en-US"/>
        </w:rPr>
        <w:t>Política</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Nacional</w:t>
      </w:r>
      <w:proofErr w:type="spellEnd"/>
      <w:r>
        <w:rPr>
          <w:rFonts w:ascii="Times New Roman" w:hAnsi="Times New Roman" w:cs="Times New Roman"/>
          <w:i/>
          <w:sz w:val="24"/>
          <w:szCs w:val="24"/>
          <w:lang w:val="en-US"/>
        </w:rPr>
        <w:t xml:space="preserve"> de </w:t>
      </w:r>
      <w:proofErr w:type="spellStart"/>
      <w:r>
        <w:rPr>
          <w:rFonts w:ascii="Times New Roman" w:hAnsi="Times New Roman" w:cs="Times New Roman"/>
          <w:i/>
          <w:sz w:val="24"/>
          <w:szCs w:val="24"/>
          <w:lang w:val="en-US"/>
        </w:rPr>
        <w:t>Resíduos</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Sólidos</w:t>
      </w:r>
      <w:proofErr w:type="spellEnd"/>
      <w:r>
        <w:rPr>
          <w:rFonts w:ascii="Times New Roman" w:hAnsi="Times New Roman" w:cs="Times New Roman"/>
          <w:sz w:val="24"/>
          <w:szCs w:val="24"/>
          <w:lang w:val="en-US"/>
        </w:rPr>
        <w:t>), established in 2010, has the objective of promoting the adoption of sustainable patterns of production and consumption as well as providing incentives to recycling industries. An Inter-ministerial Committee and an Advisory Committee for the Implementation of Reverse Logistics Systems assist in the implementation of this policy. The preceding Decree No. 5940 published in 2006 is aligned with this policy, establishing the differentiated collection of recyclable waste from the federal public administration and its destination to recycling cooperatives and associations.</w:t>
      </w:r>
      <w:r>
        <w:rPr>
          <w:rStyle w:val="Refdenotaderodap"/>
          <w:rFonts w:ascii="Times New Roman" w:hAnsi="Times New Roman" w:cs="Times New Roman"/>
          <w:szCs w:val="24"/>
          <w:lang w:val="en-US"/>
        </w:rPr>
        <w:footnoteReference w:id="5"/>
      </w:r>
    </w:p>
    <w:p w:rsidR="00625722" w:rsidRDefault="00625722" w:rsidP="00625722">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An</w:t>
      </w:r>
      <w:r w:rsidRPr="0087279F">
        <w:rPr>
          <w:rFonts w:ascii="Times New Roman" w:hAnsi="Times New Roman" w:cs="Times New Roman"/>
          <w:sz w:val="24"/>
          <w:szCs w:val="24"/>
          <w:lang w:val="en-US"/>
        </w:rPr>
        <w:t xml:space="preserve"> exponential growth of </w:t>
      </w:r>
      <w:r>
        <w:rPr>
          <w:rFonts w:ascii="Times New Roman" w:hAnsi="Times New Roman" w:cs="Times New Roman"/>
          <w:sz w:val="24"/>
          <w:szCs w:val="24"/>
          <w:lang w:val="en-US"/>
        </w:rPr>
        <w:t>engagement with</w:t>
      </w:r>
      <w:r w:rsidRPr="0087279F">
        <w:rPr>
          <w:rFonts w:ascii="Times New Roman" w:hAnsi="Times New Roman" w:cs="Times New Roman"/>
          <w:sz w:val="24"/>
          <w:szCs w:val="24"/>
          <w:lang w:val="en-US"/>
        </w:rPr>
        <w:t xml:space="preserve"> the Environmental Agenda in Public Administration (A3P</w:t>
      </w:r>
      <w:r>
        <w:rPr>
          <w:rFonts w:ascii="Times New Roman" w:hAnsi="Times New Roman" w:cs="Times New Roman"/>
          <w:sz w:val="24"/>
          <w:szCs w:val="24"/>
          <w:lang w:val="en-US"/>
        </w:rPr>
        <w:t xml:space="preserve">) was observed in federal, state and municipal agencies: in 2007, 84 institutions had formally adopted A3P guidelines, increasing to 359 institutions in 2012. This dissemination of socio-environmental responsibility initiatives among public institutions demonstrate significant governmental advances in the commitment with </w:t>
      </w:r>
      <w:r>
        <w:rPr>
          <w:rFonts w:ascii="Times New Roman" w:hAnsi="Times New Roman" w:cs="Times New Roman"/>
          <w:sz w:val="24"/>
          <w:szCs w:val="24"/>
          <w:lang w:val="en-US"/>
        </w:rPr>
        <w:lastRenderedPageBreak/>
        <w:t>principles preconized by the National Environment Policy, as well as with international recommendations, particularly those of the United Nations Conference on the Environment and Development (Eco 92)</w:t>
      </w:r>
      <w:r>
        <w:rPr>
          <w:rStyle w:val="Refdenotaderodap"/>
          <w:rFonts w:ascii="Times New Roman" w:hAnsi="Times New Roman" w:cs="Times New Roman"/>
          <w:szCs w:val="24"/>
          <w:lang w:val="en-US"/>
        </w:rPr>
        <w:footnoteReference w:id="6"/>
      </w:r>
      <w:r>
        <w:rPr>
          <w:rFonts w:ascii="Times New Roman" w:hAnsi="Times New Roman" w:cs="Times New Roman"/>
          <w:sz w:val="24"/>
          <w:szCs w:val="24"/>
          <w:lang w:val="en-US"/>
        </w:rPr>
        <w:t xml:space="preserve">. </w:t>
      </w:r>
    </w:p>
    <w:p w:rsidR="00625722" w:rsidRPr="0087279F" w:rsidRDefault="00625722" w:rsidP="00625722">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Additionally, the Business Biodiversity Initiative – MEBB (</w:t>
      </w:r>
      <w:proofErr w:type="spellStart"/>
      <w:r>
        <w:rPr>
          <w:rFonts w:ascii="Times New Roman" w:hAnsi="Times New Roman" w:cs="Times New Roman"/>
          <w:i/>
          <w:sz w:val="24"/>
          <w:szCs w:val="24"/>
          <w:lang w:val="en-US"/>
        </w:rPr>
        <w:t>Movimento</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Empresarial</w:t>
      </w:r>
      <w:proofErr w:type="spellEnd"/>
      <w:r>
        <w:rPr>
          <w:rFonts w:ascii="Times New Roman" w:hAnsi="Times New Roman" w:cs="Times New Roman"/>
          <w:i/>
          <w:sz w:val="24"/>
          <w:szCs w:val="24"/>
          <w:lang w:val="en-US"/>
        </w:rPr>
        <w:t xml:space="preserve"> pela </w:t>
      </w:r>
      <w:proofErr w:type="spellStart"/>
      <w:r>
        <w:rPr>
          <w:rFonts w:ascii="Times New Roman" w:hAnsi="Times New Roman" w:cs="Times New Roman"/>
          <w:i/>
          <w:sz w:val="24"/>
          <w:szCs w:val="24"/>
          <w:lang w:val="en-US"/>
        </w:rPr>
        <w:t>Biodivesidade</w:t>
      </w:r>
      <w:proofErr w:type="spellEnd"/>
      <w:r>
        <w:rPr>
          <w:rFonts w:ascii="Times New Roman" w:hAnsi="Times New Roman" w:cs="Times New Roman"/>
          <w:i/>
          <w:sz w:val="24"/>
          <w:szCs w:val="24"/>
          <w:lang w:val="en-US"/>
        </w:rPr>
        <w:t xml:space="preserve"> – </w:t>
      </w:r>
      <w:proofErr w:type="spellStart"/>
      <w:r>
        <w:rPr>
          <w:rFonts w:ascii="Times New Roman" w:hAnsi="Times New Roman" w:cs="Times New Roman"/>
          <w:i/>
          <w:sz w:val="24"/>
          <w:szCs w:val="24"/>
          <w:lang w:val="en-US"/>
        </w:rPr>
        <w:t>Brasil</w:t>
      </w:r>
      <w:proofErr w:type="spellEnd"/>
      <w:r>
        <w:rPr>
          <w:rFonts w:ascii="Times New Roman" w:hAnsi="Times New Roman" w:cs="Times New Roman"/>
          <w:sz w:val="24"/>
          <w:szCs w:val="24"/>
          <w:lang w:val="en-US"/>
        </w:rPr>
        <w:t>), launched in August 2010, is a pioneer inter-sectoral initiative led by the private sector, with the objective of engaging the business sector in the conservation and sustainable use of biodiversity. The initiative also seeks to establish a dialogue with the government, academia and other sectors of society to improve the legal framework on themes such as the valuation and access to biodiversity; sharing of benefits; payment for environmental services; technological innovation; research; and other themes that influence the manner in which companies may enhance their business under the directives of a sustainable economy. By the end of 2010, over 60 companies and institutions had joined MEBB. Its members were represented in the Dialogues on Biodiversity in 2011, and in the same year MEBB became a partner of the Biodiversity Barometer and the Union for Ethical Bio Trade – UEBT.</w:t>
      </w:r>
      <w:r>
        <w:rPr>
          <w:rStyle w:val="Refdenotaderodap"/>
          <w:rFonts w:ascii="Times New Roman" w:hAnsi="Times New Roman" w:cs="Times New Roman"/>
          <w:szCs w:val="24"/>
          <w:lang w:val="en-US"/>
        </w:rPr>
        <w:footnoteReference w:id="7"/>
      </w:r>
    </w:p>
    <w:p w:rsidR="00625722" w:rsidRPr="00D51A50" w:rsidRDefault="00625722" w:rsidP="00625722">
      <w:pPr>
        <w:spacing w:before="120" w:after="120"/>
        <w:jc w:val="both"/>
        <w:rPr>
          <w:rFonts w:ascii="Times New Roman" w:hAnsi="Times New Roman" w:cs="Times New Roman"/>
          <w:sz w:val="24"/>
          <w:szCs w:val="24"/>
          <w:lang w:val="en-US"/>
        </w:rPr>
      </w:pPr>
    </w:p>
    <w:tbl>
      <w:tblPr>
        <w:tblStyle w:val="Tabelacomgrade"/>
        <w:tblW w:w="0" w:type="auto"/>
        <w:tblLook w:val="04A0" w:firstRow="1" w:lastRow="0" w:firstColumn="1" w:lastColumn="0" w:noHBand="0" w:noVBand="1"/>
      </w:tblPr>
      <w:tblGrid>
        <w:gridCol w:w="4322"/>
        <w:gridCol w:w="4322"/>
      </w:tblGrid>
      <w:tr w:rsidR="00625722" w:rsidRPr="00B55462" w:rsidTr="00290342">
        <w:tc>
          <w:tcPr>
            <w:tcW w:w="4322" w:type="dxa"/>
            <w:shd w:val="clear" w:color="auto" w:fill="C2D69B" w:themeFill="accent3" w:themeFillTint="99"/>
          </w:tcPr>
          <w:p w:rsidR="00625722" w:rsidRDefault="00625722" w:rsidP="00290342">
            <w:pPr>
              <w:spacing w:before="120" w:after="120"/>
              <w:jc w:val="both"/>
              <w:rPr>
                <w:rFonts w:ascii="Times New Roman" w:hAnsi="Times New Roman" w:cs="Times New Roman"/>
                <w:sz w:val="24"/>
                <w:szCs w:val="24"/>
                <w:lang w:val="en-US"/>
              </w:rPr>
            </w:pPr>
            <w:r w:rsidRPr="00452909">
              <w:rPr>
                <w:rFonts w:ascii="Times New Roman" w:hAnsi="Times New Roman" w:cs="Times New Roman"/>
                <w:b/>
                <w:lang w:val="en-US"/>
              </w:rPr>
              <w:t>National Target 5:</w:t>
            </w:r>
            <w:r w:rsidRPr="000A0C9F">
              <w:rPr>
                <w:rFonts w:ascii="Times New Roman" w:hAnsi="Times New Roman" w:cs="Times New Roman"/>
                <w:lang w:val="en-US"/>
              </w:rPr>
              <w:t xml:space="preserve"> By 2020, the rate of loss of native habitats is reduced by at least 50% (in comparison with the 2009 rate) and, as much as possible, brought close to zero, and degradation and fragmentation is significantly reduced in all biomes.</w:t>
            </w:r>
          </w:p>
        </w:tc>
        <w:tc>
          <w:tcPr>
            <w:tcW w:w="4322" w:type="dxa"/>
            <w:vAlign w:val="center"/>
          </w:tcPr>
          <w:p w:rsidR="00625722" w:rsidRDefault="00625722" w:rsidP="00290342">
            <w:pPr>
              <w:spacing w:before="120" w:after="120"/>
              <w:jc w:val="center"/>
              <w:rPr>
                <w:rFonts w:ascii="Times New Roman" w:hAnsi="Times New Roman" w:cs="Times New Roman"/>
                <w:sz w:val="24"/>
                <w:szCs w:val="24"/>
                <w:lang w:val="en-US"/>
              </w:rPr>
            </w:pPr>
            <w:r>
              <w:rPr>
                <w:noProof/>
                <w:lang w:eastAsia="pt-BR"/>
              </w:rPr>
              <w:drawing>
                <wp:inline distT="0" distB="0" distL="0" distR="0" wp14:anchorId="3FCFBAAF" wp14:editId="1F39ABDC">
                  <wp:extent cx="405517" cy="405517"/>
                  <wp:effectExtent l="0" t="0" r="0" b="0"/>
                  <wp:docPr id="65" name="Imagem 65" descr="circulo_na_metad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circulo_na_metade.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4812" cy="404812"/>
                          </a:xfrm>
                          <a:prstGeom prst="rect">
                            <a:avLst/>
                          </a:prstGeom>
                          <a:noFill/>
                          <a:ln>
                            <a:noFill/>
                          </a:ln>
                        </pic:spPr>
                      </pic:pic>
                    </a:graphicData>
                  </a:graphic>
                </wp:inline>
              </w:drawing>
            </w:r>
          </w:p>
        </w:tc>
      </w:tr>
      <w:tr w:rsidR="00625722" w:rsidRPr="00B55462" w:rsidTr="00290342">
        <w:tc>
          <w:tcPr>
            <w:tcW w:w="4322" w:type="dxa"/>
            <w:shd w:val="clear" w:color="auto" w:fill="EAF1DD" w:themeFill="accent3" w:themeFillTint="33"/>
          </w:tcPr>
          <w:p w:rsidR="00625722" w:rsidRPr="00452909" w:rsidRDefault="00625722" w:rsidP="00290342">
            <w:pPr>
              <w:spacing w:before="120" w:after="120"/>
              <w:jc w:val="both"/>
              <w:rPr>
                <w:rFonts w:ascii="Times New Roman" w:hAnsi="Times New Roman" w:cs="Times New Roman"/>
                <w:b/>
                <w:lang w:val="en-US"/>
              </w:rPr>
            </w:pPr>
            <w:r>
              <w:rPr>
                <w:rFonts w:ascii="Times New Roman" w:hAnsi="Times New Roman" w:cs="Times New Roman"/>
                <w:b/>
                <w:lang w:val="en-US"/>
              </w:rPr>
              <w:t xml:space="preserve">Global Aichi Target 5: </w:t>
            </w:r>
            <w:r w:rsidRPr="00BA2FB7">
              <w:rPr>
                <w:rFonts w:ascii="Times New Roman" w:hAnsi="Times New Roman" w:cs="Times New Roman"/>
                <w:lang w:val="en-US"/>
              </w:rPr>
              <w:t>By 2020, the rate of loss of all natural habitats, including forests, is at least halved and where feasible brought close to zero, and degradation and fragmentation is significantly reduced</w:t>
            </w:r>
            <w:r>
              <w:rPr>
                <w:rFonts w:ascii="Times New Roman" w:hAnsi="Times New Roman" w:cs="Times New Roman"/>
                <w:lang w:val="en-US"/>
              </w:rPr>
              <w:t>.</w:t>
            </w:r>
          </w:p>
        </w:tc>
        <w:tc>
          <w:tcPr>
            <w:tcW w:w="4322" w:type="dxa"/>
            <w:vAlign w:val="center"/>
          </w:tcPr>
          <w:p w:rsidR="00625722" w:rsidRDefault="00625722" w:rsidP="00290342">
            <w:pPr>
              <w:spacing w:before="120" w:after="120"/>
              <w:jc w:val="center"/>
              <w:rPr>
                <w:rFonts w:ascii="Times New Roman" w:hAnsi="Times New Roman" w:cs="Times New Roman"/>
                <w:sz w:val="24"/>
                <w:szCs w:val="24"/>
                <w:lang w:val="en-US"/>
              </w:rPr>
            </w:pPr>
            <w:r>
              <w:rPr>
                <w:noProof/>
                <w:lang w:eastAsia="pt-BR"/>
              </w:rPr>
              <w:drawing>
                <wp:inline distT="0" distB="0" distL="0" distR="0" wp14:anchorId="0282DA10" wp14:editId="70F441B2">
                  <wp:extent cx="405517" cy="405517"/>
                  <wp:effectExtent l="0" t="0" r="0" b="0"/>
                  <wp:docPr id="66" name="Imagem 66" descr="circulo_na_metad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circulo_na_metade.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4812" cy="404812"/>
                          </a:xfrm>
                          <a:prstGeom prst="rect">
                            <a:avLst/>
                          </a:prstGeom>
                          <a:noFill/>
                          <a:ln>
                            <a:noFill/>
                          </a:ln>
                        </pic:spPr>
                      </pic:pic>
                    </a:graphicData>
                  </a:graphic>
                </wp:inline>
              </w:drawing>
            </w:r>
          </w:p>
        </w:tc>
      </w:tr>
    </w:tbl>
    <w:p w:rsidR="00625722" w:rsidRDefault="00625722" w:rsidP="00625722">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Although deforestation rates are in general lower than in previous years (see 4</w:t>
      </w:r>
      <w:r w:rsidRPr="00283D45">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National Report to the CBD), deforestation data from 2009 to 2013 is currently being revised for all biomes by the Project on Satellite Monitoring of Deforestation in Brazilian Biomes – PMDBBS. The most recent year for which revised data is available for all biomes is 2009. According to this data, deforestation in 2009 varied among biomes between 0.02% and 0.37% of total biome size, with the Atlantic Forest, for which the strictest anti-deforestation legislation is in place, being the least deforested and the </w:t>
      </w:r>
      <w:proofErr w:type="spellStart"/>
      <w:r>
        <w:rPr>
          <w:rFonts w:ascii="Times New Roman" w:hAnsi="Times New Roman" w:cs="Times New Roman"/>
          <w:sz w:val="24"/>
          <w:szCs w:val="24"/>
          <w:lang w:val="en-US"/>
        </w:rPr>
        <w:t>Cerrado</w:t>
      </w:r>
      <w:proofErr w:type="spellEnd"/>
      <w:r>
        <w:rPr>
          <w:rFonts w:ascii="Times New Roman" w:hAnsi="Times New Roman" w:cs="Times New Roman"/>
          <w:sz w:val="24"/>
          <w:szCs w:val="24"/>
          <w:lang w:val="en-US"/>
        </w:rPr>
        <w:t xml:space="preserve">, where agricultural pressures are currently most intense, being the most affected by deforestation (see section 1.3.3). The reducing trends in deforestation rates observed in recent years suggest advances towards Target achievement, even though the revised data is not yet available to allow an accurate analysis. </w:t>
      </w:r>
    </w:p>
    <w:p w:rsidR="00625722" w:rsidRDefault="00625722" w:rsidP="00625722">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Nevertheless, the still high deforestation rates in the Amazon and </w:t>
      </w:r>
      <w:proofErr w:type="spellStart"/>
      <w:r>
        <w:rPr>
          <w:rFonts w:ascii="Times New Roman" w:hAnsi="Times New Roman" w:cs="Times New Roman"/>
          <w:sz w:val="24"/>
          <w:szCs w:val="24"/>
          <w:lang w:val="en-US"/>
        </w:rPr>
        <w:t>Cerrado</w:t>
      </w:r>
      <w:proofErr w:type="spellEnd"/>
      <w:r>
        <w:rPr>
          <w:rFonts w:ascii="Times New Roman" w:hAnsi="Times New Roman" w:cs="Times New Roman"/>
          <w:sz w:val="24"/>
          <w:szCs w:val="24"/>
          <w:lang w:val="en-US"/>
        </w:rPr>
        <w:t xml:space="preserve"> biomes underline the importance of the specific programs created under the National Policy on Climate Change (PNMC) to reduce greenhouse gas emissions through deforestation and land use change in these two biomes – respectively the </w:t>
      </w:r>
      <w:proofErr w:type="spellStart"/>
      <w:r>
        <w:rPr>
          <w:rFonts w:ascii="Times New Roman" w:hAnsi="Times New Roman" w:cs="Times New Roman"/>
          <w:sz w:val="24"/>
          <w:szCs w:val="24"/>
          <w:lang w:val="en-US"/>
        </w:rPr>
        <w:t>PPCDAm</w:t>
      </w:r>
      <w:proofErr w:type="spellEnd"/>
      <w:r>
        <w:rPr>
          <w:rFonts w:ascii="Times New Roman" w:hAnsi="Times New Roman" w:cs="Times New Roman"/>
          <w:sz w:val="24"/>
          <w:szCs w:val="24"/>
          <w:lang w:val="en-US"/>
        </w:rPr>
        <w:t xml:space="preserve"> and the </w:t>
      </w:r>
      <w:proofErr w:type="spellStart"/>
      <w:r>
        <w:rPr>
          <w:rFonts w:ascii="Times New Roman" w:hAnsi="Times New Roman" w:cs="Times New Roman"/>
          <w:sz w:val="24"/>
          <w:szCs w:val="24"/>
          <w:lang w:val="en-US"/>
        </w:rPr>
        <w:t>PPCerrado</w:t>
      </w:r>
      <w:proofErr w:type="spellEnd"/>
      <w:r>
        <w:rPr>
          <w:rFonts w:ascii="Times New Roman" w:hAnsi="Times New Roman" w:cs="Times New Roman"/>
          <w:sz w:val="24"/>
          <w:szCs w:val="24"/>
          <w:lang w:val="en-US"/>
        </w:rPr>
        <w:t xml:space="preserve"> (see section 1.4). In 2010, these two biomes combined were responsible for 89.4% of </w:t>
      </w:r>
      <w:r>
        <w:rPr>
          <w:rFonts w:ascii="Times New Roman" w:hAnsi="Times New Roman" w:cs="Times New Roman"/>
          <w:sz w:val="24"/>
          <w:szCs w:val="24"/>
          <w:lang w:val="en-US"/>
        </w:rPr>
        <w:lastRenderedPageBreak/>
        <w:t xml:space="preserve">the greenhouse gas emissions of the forest sector. Deforestation in the Amazon has been showing a reducing trend since 2004, but efforts must continue to achieve deforestation reduction targets. </w:t>
      </w:r>
      <w:proofErr w:type="spellStart"/>
      <w:r>
        <w:rPr>
          <w:rFonts w:ascii="Times New Roman" w:hAnsi="Times New Roman" w:cs="Times New Roman"/>
          <w:sz w:val="24"/>
          <w:szCs w:val="24"/>
          <w:lang w:val="en-US"/>
        </w:rPr>
        <w:t>Pará</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Mato</w:t>
      </w:r>
      <w:proofErr w:type="spellEnd"/>
      <w:r>
        <w:rPr>
          <w:rFonts w:ascii="Times New Roman" w:hAnsi="Times New Roman" w:cs="Times New Roman"/>
          <w:sz w:val="24"/>
          <w:szCs w:val="24"/>
          <w:lang w:val="en-US"/>
        </w:rPr>
        <w:t xml:space="preserve"> Grosso and </w:t>
      </w:r>
      <w:proofErr w:type="spellStart"/>
      <w:r>
        <w:rPr>
          <w:rFonts w:ascii="Times New Roman" w:hAnsi="Times New Roman" w:cs="Times New Roman"/>
          <w:sz w:val="24"/>
          <w:szCs w:val="24"/>
          <w:lang w:val="en-US"/>
        </w:rPr>
        <w:t>Rondônia</w:t>
      </w:r>
      <w:proofErr w:type="spellEnd"/>
      <w:r>
        <w:rPr>
          <w:rFonts w:ascii="Times New Roman" w:hAnsi="Times New Roman" w:cs="Times New Roman"/>
          <w:sz w:val="24"/>
          <w:szCs w:val="24"/>
          <w:lang w:val="en-US"/>
        </w:rPr>
        <w:t xml:space="preserve"> are the top contributors to Amazon deforestation rates.</w:t>
      </w:r>
    </w:p>
    <w:p w:rsidR="00625722" w:rsidRDefault="00625722" w:rsidP="00625722">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 a different spatial and ecological perspective, an analysis of the Areas Susceptible to Deforestation (ASD – </w:t>
      </w:r>
      <w:proofErr w:type="spellStart"/>
      <w:r>
        <w:rPr>
          <w:rFonts w:ascii="Times New Roman" w:hAnsi="Times New Roman" w:cs="Times New Roman"/>
          <w:i/>
          <w:sz w:val="24"/>
          <w:szCs w:val="24"/>
          <w:lang w:val="en-US"/>
        </w:rPr>
        <w:t>Áreas</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Suscetíveis</w:t>
      </w:r>
      <w:proofErr w:type="spellEnd"/>
      <w:r>
        <w:rPr>
          <w:rFonts w:ascii="Times New Roman" w:hAnsi="Times New Roman" w:cs="Times New Roman"/>
          <w:i/>
          <w:sz w:val="24"/>
          <w:szCs w:val="24"/>
          <w:lang w:val="en-US"/>
        </w:rPr>
        <w:t xml:space="preserve"> à </w:t>
      </w:r>
      <w:proofErr w:type="spellStart"/>
      <w:r>
        <w:rPr>
          <w:rFonts w:ascii="Times New Roman" w:hAnsi="Times New Roman" w:cs="Times New Roman"/>
          <w:i/>
          <w:sz w:val="24"/>
          <w:szCs w:val="24"/>
          <w:lang w:val="en-US"/>
        </w:rPr>
        <w:t>Desertificação</w:t>
      </w:r>
      <w:proofErr w:type="spellEnd"/>
      <w:r>
        <w:rPr>
          <w:rFonts w:ascii="Times New Roman" w:hAnsi="Times New Roman" w:cs="Times New Roman"/>
          <w:sz w:val="24"/>
          <w:szCs w:val="24"/>
          <w:lang w:val="en-US"/>
        </w:rPr>
        <w:t>) indicate that a total of 2.7% of ASD were deforested during the 2002-2008 period corresponding to an average annual rate of 0.45%, while a 0.33% deforestation rate was observed in the 2008-2009 period (Table 34).</w:t>
      </w:r>
      <w:r>
        <w:rPr>
          <w:rStyle w:val="Refdenotaderodap"/>
          <w:rFonts w:ascii="Times New Roman" w:hAnsi="Times New Roman" w:cs="Times New Roman"/>
          <w:szCs w:val="24"/>
          <w:lang w:val="en-US"/>
        </w:rPr>
        <w:footnoteReference w:id="8"/>
      </w:r>
      <w:r>
        <w:rPr>
          <w:rFonts w:ascii="Times New Roman" w:hAnsi="Times New Roman" w:cs="Times New Roman"/>
          <w:sz w:val="24"/>
          <w:szCs w:val="24"/>
          <w:lang w:val="en-US"/>
        </w:rPr>
        <w:t xml:space="preserve"> </w:t>
      </w:r>
    </w:p>
    <w:p w:rsidR="00625722" w:rsidRPr="004133D1" w:rsidRDefault="00625722" w:rsidP="00625722">
      <w:pPr>
        <w:jc w:val="both"/>
        <w:rPr>
          <w:rFonts w:ascii="Times New Roman" w:hAnsi="Times New Roman" w:cs="Times New Roman"/>
          <w:sz w:val="20"/>
          <w:szCs w:val="20"/>
          <w:lang w:val="en-US"/>
        </w:rPr>
      </w:pPr>
      <w:r w:rsidRPr="00566155">
        <w:rPr>
          <w:rFonts w:ascii="Times New Roman" w:hAnsi="Times New Roman" w:cs="Times New Roman"/>
          <w:b/>
          <w:sz w:val="20"/>
          <w:szCs w:val="20"/>
          <w:lang w:val="en-US"/>
        </w:rPr>
        <w:t>Table 34</w:t>
      </w:r>
      <w:r w:rsidRPr="004133D1">
        <w:rPr>
          <w:rFonts w:ascii="Times New Roman" w:hAnsi="Times New Roman" w:cs="Times New Roman"/>
          <w:sz w:val="20"/>
          <w:szCs w:val="20"/>
          <w:lang w:val="en-US"/>
        </w:rPr>
        <w:t xml:space="preserve">: Deforested areas and remaining native vegetation cover in ASD of the </w:t>
      </w:r>
      <w:proofErr w:type="spellStart"/>
      <w:r w:rsidRPr="004133D1">
        <w:rPr>
          <w:rFonts w:ascii="Times New Roman" w:hAnsi="Times New Roman" w:cs="Times New Roman"/>
          <w:sz w:val="20"/>
          <w:szCs w:val="20"/>
          <w:lang w:val="en-US"/>
        </w:rPr>
        <w:t>Caatinga</w:t>
      </w:r>
      <w:proofErr w:type="spellEnd"/>
      <w:r w:rsidRPr="004133D1">
        <w:rPr>
          <w:rFonts w:ascii="Times New Roman" w:hAnsi="Times New Roman" w:cs="Times New Roman"/>
          <w:sz w:val="20"/>
          <w:szCs w:val="20"/>
          <w:lang w:val="en-US"/>
        </w:rPr>
        <w:t xml:space="preserve">, </w:t>
      </w:r>
      <w:proofErr w:type="spellStart"/>
      <w:r w:rsidRPr="004133D1">
        <w:rPr>
          <w:rFonts w:ascii="Times New Roman" w:hAnsi="Times New Roman" w:cs="Times New Roman"/>
          <w:sz w:val="20"/>
          <w:szCs w:val="20"/>
          <w:lang w:val="en-US"/>
        </w:rPr>
        <w:t>Cerrado</w:t>
      </w:r>
      <w:proofErr w:type="spellEnd"/>
      <w:r w:rsidRPr="004133D1">
        <w:rPr>
          <w:rFonts w:ascii="Times New Roman" w:hAnsi="Times New Roman" w:cs="Times New Roman"/>
          <w:sz w:val="20"/>
          <w:szCs w:val="20"/>
          <w:lang w:val="en-US"/>
        </w:rPr>
        <w:t xml:space="preserve"> and Atlantic Forest biomes.</w:t>
      </w:r>
    </w:p>
    <w:tbl>
      <w:tblPr>
        <w:tblStyle w:val="Tabelacomgrade"/>
        <w:tblW w:w="0" w:type="auto"/>
        <w:tblLook w:val="04A0" w:firstRow="1" w:lastRow="0" w:firstColumn="1" w:lastColumn="0" w:noHBand="0" w:noVBand="1"/>
      </w:tblPr>
      <w:tblGrid>
        <w:gridCol w:w="2881"/>
        <w:gridCol w:w="2881"/>
        <w:gridCol w:w="2882"/>
      </w:tblGrid>
      <w:tr w:rsidR="00625722" w:rsidRPr="004133D1" w:rsidTr="00290342">
        <w:tc>
          <w:tcPr>
            <w:tcW w:w="2881" w:type="dxa"/>
            <w:shd w:val="clear" w:color="auto" w:fill="C2D69B" w:themeFill="accent3" w:themeFillTint="99"/>
          </w:tcPr>
          <w:p w:rsidR="00625722" w:rsidRPr="004133D1" w:rsidRDefault="00625722" w:rsidP="00290342">
            <w:pPr>
              <w:jc w:val="both"/>
              <w:rPr>
                <w:rFonts w:ascii="Times New Roman" w:hAnsi="Times New Roman" w:cs="Times New Roman"/>
                <w:sz w:val="20"/>
                <w:szCs w:val="20"/>
                <w:lang w:val="en-US"/>
              </w:rPr>
            </w:pPr>
          </w:p>
        </w:tc>
        <w:tc>
          <w:tcPr>
            <w:tcW w:w="2881" w:type="dxa"/>
            <w:shd w:val="clear" w:color="auto" w:fill="C2D69B" w:themeFill="accent3" w:themeFillTint="99"/>
          </w:tcPr>
          <w:p w:rsidR="00625722" w:rsidRPr="004133D1" w:rsidRDefault="00625722" w:rsidP="00290342">
            <w:pPr>
              <w:jc w:val="center"/>
              <w:rPr>
                <w:rFonts w:ascii="Times New Roman" w:hAnsi="Times New Roman" w:cs="Times New Roman"/>
                <w:b/>
                <w:sz w:val="20"/>
                <w:szCs w:val="20"/>
                <w:lang w:val="en-US"/>
              </w:rPr>
            </w:pPr>
            <w:r w:rsidRPr="004133D1">
              <w:rPr>
                <w:rFonts w:ascii="Times New Roman" w:hAnsi="Times New Roman" w:cs="Times New Roman"/>
                <w:b/>
                <w:sz w:val="20"/>
                <w:szCs w:val="20"/>
                <w:lang w:val="en-US"/>
              </w:rPr>
              <w:t>Area (km2)</w:t>
            </w:r>
          </w:p>
        </w:tc>
        <w:tc>
          <w:tcPr>
            <w:tcW w:w="2882" w:type="dxa"/>
            <w:shd w:val="clear" w:color="auto" w:fill="C2D69B" w:themeFill="accent3" w:themeFillTint="99"/>
          </w:tcPr>
          <w:p w:rsidR="00625722" w:rsidRPr="004133D1" w:rsidRDefault="00625722" w:rsidP="00290342">
            <w:pPr>
              <w:jc w:val="center"/>
              <w:rPr>
                <w:rFonts w:ascii="Times New Roman" w:hAnsi="Times New Roman" w:cs="Times New Roman"/>
                <w:b/>
                <w:sz w:val="20"/>
                <w:szCs w:val="20"/>
                <w:lang w:val="en-US"/>
              </w:rPr>
            </w:pPr>
            <w:r w:rsidRPr="004133D1">
              <w:rPr>
                <w:rFonts w:ascii="Times New Roman" w:hAnsi="Times New Roman" w:cs="Times New Roman"/>
                <w:b/>
                <w:sz w:val="20"/>
                <w:szCs w:val="20"/>
                <w:lang w:val="en-US"/>
              </w:rPr>
              <w:t>Area (%)</w:t>
            </w:r>
          </w:p>
        </w:tc>
      </w:tr>
      <w:tr w:rsidR="00625722" w:rsidRPr="004133D1" w:rsidTr="00290342">
        <w:tc>
          <w:tcPr>
            <w:tcW w:w="2881" w:type="dxa"/>
            <w:shd w:val="clear" w:color="auto" w:fill="C2D69B" w:themeFill="accent3" w:themeFillTint="99"/>
          </w:tcPr>
          <w:p w:rsidR="00625722" w:rsidRPr="004133D1" w:rsidRDefault="00625722" w:rsidP="00290342">
            <w:pPr>
              <w:jc w:val="both"/>
              <w:rPr>
                <w:rFonts w:ascii="Times New Roman" w:hAnsi="Times New Roman" w:cs="Times New Roman"/>
                <w:b/>
                <w:sz w:val="20"/>
                <w:szCs w:val="20"/>
                <w:lang w:val="en-US"/>
              </w:rPr>
            </w:pPr>
            <w:r w:rsidRPr="004133D1">
              <w:rPr>
                <w:rFonts w:ascii="Times New Roman" w:hAnsi="Times New Roman" w:cs="Times New Roman"/>
                <w:b/>
                <w:sz w:val="20"/>
                <w:szCs w:val="20"/>
                <w:lang w:val="en-US"/>
              </w:rPr>
              <w:t>Deforested area</w:t>
            </w:r>
          </w:p>
        </w:tc>
        <w:tc>
          <w:tcPr>
            <w:tcW w:w="2881" w:type="dxa"/>
            <w:shd w:val="clear" w:color="auto" w:fill="C2D69B" w:themeFill="accent3" w:themeFillTint="99"/>
          </w:tcPr>
          <w:p w:rsidR="00625722" w:rsidRPr="004133D1" w:rsidRDefault="00625722" w:rsidP="00290342">
            <w:pPr>
              <w:jc w:val="both"/>
              <w:rPr>
                <w:rFonts w:ascii="Times New Roman" w:hAnsi="Times New Roman" w:cs="Times New Roman"/>
                <w:sz w:val="20"/>
                <w:szCs w:val="20"/>
                <w:lang w:val="en-US"/>
              </w:rPr>
            </w:pPr>
          </w:p>
        </w:tc>
        <w:tc>
          <w:tcPr>
            <w:tcW w:w="2882" w:type="dxa"/>
            <w:shd w:val="clear" w:color="auto" w:fill="C2D69B" w:themeFill="accent3" w:themeFillTint="99"/>
          </w:tcPr>
          <w:p w:rsidR="00625722" w:rsidRPr="004133D1" w:rsidRDefault="00625722" w:rsidP="00290342">
            <w:pPr>
              <w:jc w:val="both"/>
              <w:rPr>
                <w:rFonts w:ascii="Times New Roman" w:hAnsi="Times New Roman" w:cs="Times New Roman"/>
                <w:sz w:val="20"/>
                <w:szCs w:val="20"/>
                <w:lang w:val="en-US"/>
              </w:rPr>
            </w:pPr>
          </w:p>
        </w:tc>
      </w:tr>
      <w:tr w:rsidR="00625722" w:rsidRPr="004133D1" w:rsidTr="00290342">
        <w:tc>
          <w:tcPr>
            <w:tcW w:w="2881" w:type="dxa"/>
          </w:tcPr>
          <w:p w:rsidR="00625722" w:rsidRPr="004133D1" w:rsidRDefault="00625722" w:rsidP="00290342">
            <w:pPr>
              <w:jc w:val="both"/>
              <w:rPr>
                <w:rFonts w:ascii="Times New Roman" w:hAnsi="Times New Roman" w:cs="Times New Roman"/>
                <w:sz w:val="20"/>
                <w:szCs w:val="20"/>
                <w:lang w:val="en-US"/>
              </w:rPr>
            </w:pPr>
            <w:r>
              <w:rPr>
                <w:rFonts w:ascii="Times New Roman" w:hAnsi="Times New Roman" w:cs="Times New Roman"/>
                <w:sz w:val="20"/>
                <w:szCs w:val="20"/>
                <w:lang w:val="en-US"/>
              </w:rPr>
              <w:t>Before 2002</w:t>
            </w:r>
          </w:p>
        </w:tc>
        <w:tc>
          <w:tcPr>
            <w:tcW w:w="2881" w:type="dxa"/>
          </w:tcPr>
          <w:p w:rsidR="00625722" w:rsidRPr="004133D1" w:rsidRDefault="00625722" w:rsidP="00290342">
            <w:pPr>
              <w:jc w:val="center"/>
              <w:rPr>
                <w:rFonts w:ascii="Times New Roman" w:hAnsi="Times New Roman" w:cs="Times New Roman"/>
                <w:sz w:val="20"/>
                <w:szCs w:val="20"/>
                <w:lang w:val="en-US"/>
              </w:rPr>
            </w:pPr>
            <w:r>
              <w:rPr>
                <w:rFonts w:ascii="Times New Roman" w:hAnsi="Times New Roman" w:cs="Times New Roman"/>
                <w:sz w:val="20"/>
                <w:szCs w:val="20"/>
                <w:lang w:val="en-US"/>
              </w:rPr>
              <w:t>555,532</w:t>
            </w:r>
          </w:p>
        </w:tc>
        <w:tc>
          <w:tcPr>
            <w:tcW w:w="2882" w:type="dxa"/>
          </w:tcPr>
          <w:p w:rsidR="00625722" w:rsidRPr="004133D1" w:rsidRDefault="00625722" w:rsidP="00290342">
            <w:pPr>
              <w:jc w:val="center"/>
              <w:rPr>
                <w:rFonts w:ascii="Times New Roman" w:hAnsi="Times New Roman" w:cs="Times New Roman"/>
                <w:sz w:val="20"/>
                <w:szCs w:val="20"/>
                <w:lang w:val="en-US"/>
              </w:rPr>
            </w:pPr>
            <w:r>
              <w:rPr>
                <w:rFonts w:ascii="Times New Roman" w:hAnsi="Times New Roman" w:cs="Times New Roman"/>
                <w:sz w:val="20"/>
                <w:szCs w:val="20"/>
                <w:lang w:val="en-US"/>
              </w:rPr>
              <w:t>41.10</w:t>
            </w:r>
          </w:p>
        </w:tc>
      </w:tr>
      <w:tr w:rsidR="00625722" w:rsidRPr="004133D1" w:rsidTr="00290342">
        <w:tc>
          <w:tcPr>
            <w:tcW w:w="2881" w:type="dxa"/>
          </w:tcPr>
          <w:p w:rsidR="00625722" w:rsidRPr="004133D1" w:rsidRDefault="00625722" w:rsidP="00290342">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2002 – 2008 </w:t>
            </w:r>
          </w:p>
        </w:tc>
        <w:tc>
          <w:tcPr>
            <w:tcW w:w="2881" w:type="dxa"/>
          </w:tcPr>
          <w:p w:rsidR="00625722" w:rsidRPr="004133D1" w:rsidRDefault="00625722" w:rsidP="00290342">
            <w:pPr>
              <w:jc w:val="center"/>
              <w:rPr>
                <w:rFonts w:ascii="Times New Roman" w:hAnsi="Times New Roman" w:cs="Times New Roman"/>
                <w:sz w:val="20"/>
                <w:szCs w:val="20"/>
                <w:lang w:val="en-US"/>
              </w:rPr>
            </w:pPr>
            <w:r>
              <w:rPr>
                <w:rFonts w:ascii="Times New Roman" w:hAnsi="Times New Roman" w:cs="Times New Roman"/>
                <w:sz w:val="20"/>
                <w:szCs w:val="20"/>
                <w:lang w:val="en-US"/>
              </w:rPr>
              <w:t>36,576</w:t>
            </w:r>
          </w:p>
        </w:tc>
        <w:tc>
          <w:tcPr>
            <w:tcW w:w="2882" w:type="dxa"/>
          </w:tcPr>
          <w:p w:rsidR="00625722" w:rsidRPr="004133D1" w:rsidRDefault="00625722" w:rsidP="00290342">
            <w:pPr>
              <w:jc w:val="center"/>
              <w:rPr>
                <w:rFonts w:ascii="Times New Roman" w:hAnsi="Times New Roman" w:cs="Times New Roman"/>
                <w:sz w:val="20"/>
                <w:szCs w:val="20"/>
                <w:lang w:val="en-US"/>
              </w:rPr>
            </w:pPr>
            <w:r>
              <w:rPr>
                <w:rFonts w:ascii="Times New Roman" w:hAnsi="Times New Roman" w:cs="Times New Roman"/>
                <w:sz w:val="20"/>
                <w:szCs w:val="20"/>
                <w:lang w:val="en-US"/>
              </w:rPr>
              <w:t>2.71</w:t>
            </w:r>
          </w:p>
        </w:tc>
      </w:tr>
      <w:tr w:rsidR="00625722" w:rsidRPr="004133D1" w:rsidTr="00290342">
        <w:tc>
          <w:tcPr>
            <w:tcW w:w="2881" w:type="dxa"/>
          </w:tcPr>
          <w:p w:rsidR="00625722" w:rsidRPr="004133D1" w:rsidRDefault="00625722" w:rsidP="00290342">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2008 – 2009 </w:t>
            </w:r>
          </w:p>
        </w:tc>
        <w:tc>
          <w:tcPr>
            <w:tcW w:w="2881" w:type="dxa"/>
          </w:tcPr>
          <w:p w:rsidR="00625722" w:rsidRPr="004133D1" w:rsidRDefault="00625722" w:rsidP="00290342">
            <w:pPr>
              <w:jc w:val="center"/>
              <w:rPr>
                <w:rFonts w:ascii="Times New Roman" w:hAnsi="Times New Roman" w:cs="Times New Roman"/>
                <w:sz w:val="20"/>
                <w:szCs w:val="20"/>
                <w:lang w:val="en-US"/>
              </w:rPr>
            </w:pPr>
            <w:r>
              <w:rPr>
                <w:rFonts w:ascii="Times New Roman" w:hAnsi="Times New Roman" w:cs="Times New Roman"/>
                <w:sz w:val="20"/>
                <w:szCs w:val="20"/>
                <w:lang w:val="en-US"/>
              </w:rPr>
              <w:t>4,510</w:t>
            </w:r>
          </w:p>
        </w:tc>
        <w:tc>
          <w:tcPr>
            <w:tcW w:w="2882" w:type="dxa"/>
          </w:tcPr>
          <w:p w:rsidR="00625722" w:rsidRPr="004133D1" w:rsidRDefault="00625722" w:rsidP="00290342">
            <w:pPr>
              <w:jc w:val="center"/>
              <w:rPr>
                <w:rFonts w:ascii="Times New Roman" w:hAnsi="Times New Roman" w:cs="Times New Roman"/>
                <w:sz w:val="20"/>
                <w:szCs w:val="20"/>
                <w:lang w:val="en-US"/>
              </w:rPr>
            </w:pPr>
            <w:r>
              <w:rPr>
                <w:rFonts w:ascii="Times New Roman" w:hAnsi="Times New Roman" w:cs="Times New Roman"/>
                <w:sz w:val="20"/>
                <w:szCs w:val="20"/>
                <w:lang w:val="en-US"/>
              </w:rPr>
              <w:t>0.33</w:t>
            </w:r>
          </w:p>
        </w:tc>
      </w:tr>
      <w:tr w:rsidR="00625722" w:rsidRPr="004133D1" w:rsidTr="00290342">
        <w:tc>
          <w:tcPr>
            <w:tcW w:w="2881" w:type="dxa"/>
            <w:shd w:val="clear" w:color="auto" w:fill="C2D69B" w:themeFill="accent3" w:themeFillTint="99"/>
          </w:tcPr>
          <w:p w:rsidR="00625722" w:rsidRPr="004133D1" w:rsidRDefault="00625722" w:rsidP="00290342">
            <w:pPr>
              <w:jc w:val="both"/>
              <w:rPr>
                <w:rFonts w:ascii="Times New Roman" w:hAnsi="Times New Roman" w:cs="Times New Roman"/>
                <w:b/>
                <w:sz w:val="20"/>
                <w:szCs w:val="20"/>
                <w:lang w:val="en-US"/>
              </w:rPr>
            </w:pPr>
            <w:r w:rsidRPr="004133D1">
              <w:rPr>
                <w:rFonts w:ascii="Times New Roman" w:hAnsi="Times New Roman" w:cs="Times New Roman"/>
                <w:b/>
                <w:sz w:val="20"/>
                <w:szCs w:val="20"/>
                <w:lang w:val="en-US"/>
              </w:rPr>
              <w:t>Remaining native vegetation</w:t>
            </w:r>
          </w:p>
        </w:tc>
        <w:tc>
          <w:tcPr>
            <w:tcW w:w="2881" w:type="dxa"/>
            <w:shd w:val="clear" w:color="auto" w:fill="C2D69B" w:themeFill="accent3" w:themeFillTint="99"/>
          </w:tcPr>
          <w:p w:rsidR="00625722" w:rsidRPr="004133D1" w:rsidRDefault="00625722" w:rsidP="00290342">
            <w:pPr>
              <w:jc w:val="center"/>
              <w:rPr>
                <w:rFonts w:ascii="Times New Roman" w:hAnsi="Times New Roman" w:cs="Times New Roman"/>
                <w:sz w:val="20"/>
                <w:szCs w:val="20"/>
                <w:lang w:val="en-US"/>
              </w:rPr>
            </w:pPr>
          </w:p>
        </w:tc>
        <w:tc>
          <w:tcPr>
            <w:tcW w:w="2882" w:type="dxa"/>
            <w:shd w:val="clear" w:color="auto" w:fill="C2D69B" w:themeFill="accent3" w:themeFillTint="99"/>
          </w:tcPr>
          <w:p w:rsidR="00625722" w:rsidRPr="004133D1" w:rsidRDefault="00625722" w:rsidP="00290342">
            <w:pPr>
              <w:jc w:val="center"/>
              <w:rPr>
                <w:rFonts w:ascii="Times New Roman" w:hAnsi="Times New Roman" w:cs="Times New Roman"/>
                <w:sz w:val="20"/>
                <w:szCs w:val="20"/>
                <w:lang w:val="en-US"/>
              </w:rPr>
            </w:pPr>
          </w:p>
        </w:tc>
      </w:tr>
      <w:tr w:rsidR="00625722" w:rsidRPr="004133D1" w:rsidTr="00290342">
        <w:tc>
          <w:tcPr>
            <w:tcW w:w="2881" w:type="dxa"/>
          </w:tcPr>
          <w:p w:rsidR="00625722" w:rsidRPr="004133D1" w:rsidRDefault="00625722" w:rsidP="00290342">
            <w:pPr>
              <w:jc w:val="both"/>
              <w:rPr>
                <w:rFonts w:ascii="Times New Roman" w:hAnsi="Times New Roman" w:cs="Times New Roman"/>
                <w:sz w:val="20"/>
                <w:szCs w:val="20"/>
                <w:lang w:val="en-US"/>
              </w:rPr>
            </w:pPr>
            <w:r>
              <w:rPr>
                <w:rFonts w:ascii="Times New Roman" w:hAnsi="Times New Roman" w:cs="Times New Roman"/>
                <w:sz w:val="20"/>
                <w:szCs w:val="20"/>
                <w:lang w:val="en-US"/>
              </w:rPr>
              <w:t>Before 2002</w:t>
            </w:r>
          </w:p>
        </w:tc>
        <w:tc>
          <w:tcPr>
            <w:tcW w:w="2881" w:type="dxa"/>
          </w:tcPr>
          <w:p w:rsidR="00625722" w:rsidRPr="004133D1" w:rsidRDefault="00625722" w:rsidP="00290342">
            <w:pPr>
              <w:jc w:val="center"/>
              <w:rPr>
                <w:rFonts w:ascii="Times New Roman" w:hAnsi="Times New Roman" w:cs="Times New Roman"/>
                <w:sz w:val="20"/>
                <w:szCs w:val="20"/>
                <w:lang w:val="en-US"/>
              </w:rPr>
            </w:pPr>
            <w:r>
              <w:rPr>
                <w:rFonts w:ascii="Times New Roman" w:hAnsi="Times New Roman" w:cs="Times New Roman"/>
                <w:sz w:val="20"/>
                <w:szCs w:val="20"/>
                <w:lang w:val="en-US"/>
              </w:rPr>
              <w:t>785,331</w:t>
            </w:r>
          </w:p>
        </w:tc>
        <w:tc>
          <w:tcPr>
            <w:tcW w:w="2882" w:type="dxa"/>
          </w:tcPr>
          <w:p w:rsidR="00625722" w:rsidRPr="004133D1" w:rsidRDefault="00625722" w:rsidP="00290342">
            <w:pPr>
              <w:jc w:val="center"/>
              <w:rPr>
                <w:rFonts w:ascii="Times New Roman" w:hAnsi="Times New Roman" w:cs="Times New Roman"/>
                <w:sz w:val="20"/>
                <w:szCs w:val="20"/>
                <w:lang w:val="en-US"/>
              </w:rPr>
            </w:pPr>
            <w:r>
              <w:rPr>
                <w:rFonts w:ascii="Times New Roman" w:hAnsi="Times New Roman" w:cs="Times New Roman"/>
                <w:sz w:val="20"/>
                <w:szCs w:val="20"/>
                <w:lang w:val="en-US"/>
              </w:rPr>
              <w:t>58.10</w:t>
            </w:r>
          </w:p>
        </w:tc>
      </w:tr>
      <w:tr w:rsidR="00625722" w:rsidRPr="004133D1" w:rsidTr="00290342">
        <w:tc>
          <w:tcPr>
            <w:tcW w:w="2881" w:type="dxa"/>
          </w:tcPr>
          <w:p w:rsidR="00625722" w:rsidRPr="004133D1" w:rsidRDefault="00625722" w:rsidP="00290342">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2002 – 2008 </w:t>
            </w:r>
          </w:p>
        </w:tc>
        <w:tc>
          <w:tcPr>
            <w:tcW w:w="2881" w:type="dxa"/>
          </w:tcPr>
          <w:p w:rsidR="00625722" w:rsidRPr="004133D1" w:rsidRDefault="00625722" w:rsidP="00290342">
            <w:pPr>
              <w:jc w:val="center"/>
              <w:rPr>
                <w:rFonts w:ascii="Times New Roman" w:hAnsi="Times New Roman" w:cs="Times New Roman"/>
                <w:sz w:val="20"/>
                <w:szCs w:val="20"/>
                <w:lang w:val="en-US"/>
              </w:rPr>
            </w:pPr>
            <w:r>
              <w:rPr>
                <w:rFonts w:ascii="Times New Roman" w:hAnsi="Times New Roman" w:cs="Times New Roman"/>
                <w:sz w:val="20"/>
                <w:szCs w:val="20"/>
                <w:lang w:val="en-US"/>
              </w:rPr>
              <w:t>748,755</w:t>
            </w:r>
          </w:p>
        </w:tc>
        <w:tc>
          <w:tcPr>
            <w:tcW w:w="2882" w:type="dxa"/>
          </w:tcPr>
          <w:p w:rsidR="00625722" w:rsidRPr="004133D1" w:rsidRDefault="00625722" w:rsidP="00290342">
            <w:pPr>
              <w:jc w:val="center"/>
              <w:rPr>
                <w:rFonts w:ascii="Times New Roman" w:hAnsi="Times New Roman" w:cs="Times New Roman"/>
                <w:sz w:val="20"/>
                <w:szCs w:val="20"/>
                <w:lang w:val="en-US"/>
              </w:rPr>
            </w:pPr>
            <w:r>
              <w:rPr>
                <w:rFonts w:ascii="Times New Roman" w:hAnsi="Times New Roman" w:cs="Times New Roman"/>
                <w:sz w:val="20"/>
                <w:szCs w:val="20"/>
                <w:lang w:val="en-US"/>
              </w:rPr>
              <w:t>55.40</w:t>
            </w:r>
          </w:p>
        </w:tc>
      </w:tr>
      <w:tr w:rsidR="00625722" w:rsidRPr="004133D1" w:rsidTr="00290342">
        <w:tc>
          <w:tcPr>
            <w:tcW w:w="2881" w:type="dxa"/>
          </w:tcPr>
          <w:p w:rsidR="00625722" w:rsidRPr="004133D1" w:rsidRDefault="00625722" w:rsidP="00290342">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2008 – 2009 </w:t>
            </w:r>
          </w:p>
        </w:tc>
        <w:tc>
          <w:tcPr>
            <w:tcW w:w="2881" w:type="dxa"/>
          </w:tcPr>
          <w:p w:rsidR="00625722" w:rsidRPr="004133D1" w:rsidRDefault="00625722" w:rsidP="00290342">
            <w:pPr>
              <w:jc w:val="center"/>
              <w:rPr>
                <w:rFonts w:ascii="Times New Roman" w:hAnsi="Times New Roman" w:cs="Times New Roman"/>
                <w:sz w:val="20"/>
                <w:szCs w:val="20"/>
                <w:lang w:val="en-US"/>
              </w:rPr>
            </w:pPr>
            <w:r>
              <w:rPr>
                <w:rFonts w:ascii="Times New Roman" w:hAnsi="Times New Roman" w:cs="Times New Roman"/>
                <w:sz w:val="20"/>
                <w:szCs w:val="20"/>
                <w:lang w:val="en-US"/>
              </w:rPr>
              <w:t>744,245</w:t>
            </w:r>
          </w:p>
        </w:tc>
        <w:tc>
          <w:tcPr>
            <w:tcW w:w="2882" w:type="dxa"/>
          </w:tcPr>
          <w:p w:rsidR="00625722" w:rsidRPr="004133D1" w:rsidRDefault="00625722" w:rsidP="00290342">
            <w:pPr>
              <w:jc w:val="center"/>
              <w:rPr>
                <w:rFonts w:ascii="Times New Roman" w:hAnsi="Times New Roman" w:cs="Times New Roman"/>
                <w:sz w:val="20"/>
                <w:szCs w:val="20"/>
                <w:lang w:val="en-US"/>
              </w:rPr>
            </w:pPr>
            <w:r>
              <w:rPr>
                <w:rFonts w:ascii="Times New Roman" w:hAnsi="Times New Roman" w:cs="Times New Roman"/>
                <w:sz w:val="20"/>
                <w:szCs w:val="20"/>
                <w:lang w:val="en-US"/>
              </w:rPr>
              <w:t>55.06</w:t>
            </w:r>
          </w:p>
        </w:tc>
      </w:tr>
    </w:tbl>
    <w:p w:rsidR="00625722" w:rsidRPr="004133D1" w:rsidRDefault="00625722" w:rsidP="00625722">
      <w:pPr>
        <w:jc w:val="both"/>
        <w:rPr>
          <w:rFonts w:ascii="Times New Roman" w:hAnsi="Times New Roman" w:cs="Times New Roman"/>
          <w:sz w:val="20"/>
          <w:szCs w:val="20"/>
          <w:lang w:val="en-US"/>
        </w:rPr>
      </w:pPr>
      <w:r w:rsidRPr="004133D1">
        <w:rPr>
          <w:rFonts w:ascii="Times New Roman" w:hAnsi="Times New Roman" w:cs="Times New Roman"/>
          <w:b/>
          <w:sz w:val="20"/>
          <w:szCs w:val="20"/>
          <w:lang w:val="en-US"/>
        </w:rPr>
        <w:t>Source:</w:t>
      </w:r>
      <w:r w:rsidRPr="004133D1">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IBAMA/PMDBBS data in: </w:t>
      </w:r>
      <w:r w:rsidRPr="00777A7F">
        <w:rPr>
          <w:rFonts w:ascii="Times New Roman" w:hAnsi="Times New Roman" w:cs="Times New Roman"/>
          <w:sz w:val="20"/>
          <w:szCs w:val="20"/>
          <w:lang w:val="en-US"/>
        </w:rPr>
        <w:t xml:space="preserve">MMA-PNIA 2012, unpublished report. </w:t>
      </w:r>
      <w:proofErr w:type="gramStart"/>
      <w:r w:rsidRPr="00777A7F">
        <w:rPr>
          <w:rFonts w:ascii="Times New Roman" w:hAnsi="Times New Roman" w:cs="Times New Roman"/>
          <w:sz w:val="20"/>
          <w:szCs w:val="20"/>
          <w:lang w:val="en-US"/>
        </w:rPr>
        <w:t>Theoretic</w:t>
      </w:r>
      <w:r>
        <w:rPr>
          <w:rFonts w:ascii="Times New Roman" w:hAnsi="Times New Roman" w:cs="Times New Roman"/>
          <w:sz w:val="20"/>
          <w:szCs w:val="20"/>
          <w:lang w:val="en-US"/>
        </w:rPr>
        <w:t>al</w:t>
      </w:r>
      <w:r w:rsidRPr="00777A7F">
        <w:rPr>
          <w:rFonts w:ascii="Times New Roman" w:hAnsi="Times New Roman" w:cs="Times New Roman"/>
          <w:sz w:val="20"/>
          <w:szCs w:val="20"/>
          <w:lang w:val="en-US"/>
        </w:rPr>
        <w:t xml:space="preserve"> reference, composition and synthesis of indicators for the pilot version (in Portuguese).</w:t>
      </w:r>
      <w:proofErr w:type="gramEnd"/>
      <w:r w:rsidRPr="00777A7F">
        <w:rPr>
          <w:rFonts w:ascii="Times New Roman" w:hAnsi="Times New Roman" w:cs="Times New Roman"/>
          <w:sz w:val="20"/>
          <w:szCs w:val="20"/>
          <w:lang w:val="en-US"/>
        </w:rPr>
        <w:t xml:space="preserve"> </w:t>
      </w:r>
      <w:proofErr w:type="gramStart"/>
      <w:r w:rsidRPr="00C544AA">
        <w:rPr>
          <w:rFonts w:ascii="Times New Roman" w:hAnsi="Times New Roman" w:cs="Times New Roman"/>
          <w:sz w:val="20"/>
          <w:szCs w:val="20"/>
          <w:lang w:val="en-US"/>
        </w:rPr>
        <w:t>PNIA – National Panel on Environmental Indicators</w:t>
      </w:r>
      <w:r>
        <w:rPr>
          <w:rFonts w:ascii="Times New Roman" w:hAnsi="Times New Roman" w:cs="Times New Roman"/>
          <w:sz w:val="20"/>
          <w:szCs w:val="20"/>
          <w:lang w:val="en-US"/>
        </w:rPr>
        <w:t>.</w:t>
      </w:r>
      <w:proofErr w:type="gramEnd"/>
    </w:p>
    <w:p w:rsidR="00625722" w:rsidRDefault="00625722" w:rsidP="00625722">
      <w:pPr>
        <w:spacing w:before="120" w:after="120"/>
        <w:jc w:val="both"/>
        <w:rPr>
          <w:rFonts w:ascii="Times New Roman" w:hAnsi="Times New Roman" w:cs="Times New Roman"/>
          <w:sz w:val="24"/>
          <w:szCs w:val="24"/>
          <w:lang w:val="en-US"/>
        </w:rPr>
      </w:pPr>
    </w:p>
    <w:tbl>
      <w:tblPr>
        <w:tblStyle w:val="Tabelacomgrade"/>
        <w:tblW w:w="0" w:type="auto"/>
        <w:tblLook w:val="04A0" w:firstRow="1" w:lastRow="0" w:firstColumn="1" w:lastColumn="0" w:noHBand="0" w:noVBand="1"/>
      </w:tblPr>
      <w:tblGrid>
        <w:gridCol w:w="4322"/>
        <w:gridCol w:w="4322"/>
      </w:tblGrid>
      <w:tr w:rsidR="00625722" w:rsidTr="00290342">
        <w:tc>
          <w:tcPr>
            <w:tcW w:w="4322" w:type="dxa"/>
            <w:shd w:val="clear" w:color="auto" w:fill="C2D69B" w:themeFill="accent3" w:themeFillTint="99"/>
          </w:tcPr>
          <w:p w:rsidR="00625722" w:rsidRDefault="00625722" w:rsidP="00290342">
            <w:pPr>
              <w:spacing w:before="120" w:after="120"/>
              <w:jc w:val="both"/>
              <w:rPr>
                <w:rFonts w:ascii="Times New Roman" w:hAnsi="Times New Roman" w:cs="Times New Roman"/>
                <w:sz w:val="24"/>
                <w:szCs w:val="24"/>
                <w:lang w:val="en-US"/>
              </w:rPr>
            </w:pPr>
            <w:r w:rsidRPr="00452909">
              <w:rPr>
                <w:rFonts w:ascii="Times New Roman" w:hAnsi="Times New Roman" w:cs="Times New Roman"/>
                <w:b/>
                <w:lang w:val="en-US"/>
              </w:rPr>
              <w:t>National Target 6:</w:t>
            </w:r>
            <w:r w:rsidRPr="000A0C9F">
              <w:rPr>
                <w:rFonts w:ascii="Times New Roman" w:hAnsi="Times New Roman" w:cs="Times New Roman"/>
                <w:lang w:val="en-US"/>
              </w:rPr>
              <w:t xml:space="preserve"> By 2020 all stocks of any aquatic organism are managed and harvested sustainably, legally and applying ecosystem based approaches, so that overharvesting is avoided, recovery plans and measures are in place for depleted species, fisheries have no significant adverse impacts on threatened species and vulnerable ecosystems, and the impacts of fisheries on stocks, species and ecosystems are within safe ecological limits, when scientifically established.</w:t>
            </w:r>
          </w:p>
        </w:tc>
        <w:tc>
          <w:tcPr>
            <w:tcW w:w="4322" w:type="dxa"/>
            <w:vAlign w:val="center"/>
          </w:tcPr>
          <w:p w:rsidR="00625722" w:rsidRDefault="00625722" w:rsidP="00290342">
            <w:pPr>
              <w:spacing w:before="120" w:after="120"/>
              <w:jc w:val="center"/>
              <w:rPr>
                <w:rFonts w:ascii="Times New Roman" w:hAnsi="Times New Roman" w:cs="Times New Roman"/>
                <w:sz w:val="24"/>
                <w:szCs w:val="24"/>
                <w:lang w:val="en-US"/>
              </w:rPr>
            </w:pPr>
            <w:r>
              <w:rPr>
                <w:noProof/>
                <w:sz w:val="18"/>
                <w:lang w:eastAsia="pt-BR"/>
              </w:rPr>
              <w:drawing>
                <wp:inline distT="0" distB="0" distL="0" distR="0" wp14:anchorId="6589381C" wp14:editId="5C3A70E6">
                  <wp:extent cx="405517" cy="405517"/>
                  <wp:effectExtent l="0" t="0" r="0" b="0"/>
                  <wp:docPr id="67" name="Imagem 67" descr="r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d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5666" cy="405666"/>
                          </a:xfrm>
                          <a:prstGeom prst="rect">
                            <a:avLst/>
                          </a:prstGeom>
                          <a:noFill/>
                          <a:ln>
                            <a:noFill/>
                          </a:ln>
                        </pic:spPr>
                      </pic:pic>
                    </a:graphicData>
                  </a:graphic>
                </wp:inline>
              </w:drawing>
            </w:r>
          </w:p>
        </w:tc>
      </w:tr>
      <w:tr w:rsidR="00625722" w:rsidRPr="00E1721B" w:rsidTr="00290342">
        <w:tc>
          <w:tcPr>
            <w:tcW w:w="4322" w:type="dxa"/>
            <w:shd w:val="clear" w:color="auto" w:fill="EAF1DD" w:themeFill="accent3" w:themeFillTint="33"/>
          </w:tcPr>
          <w:p w:rsidR="00625722" w:rsidRPr="00452909" w:rsidRDefault="00625722" w:rsidP="00290342">
            <w:pPr>
              <w:spacing w:before="120" w:after="120"/>
              <w:jc w:val="both"/>
              <w:rPr>
                <w:rFonts w:ascii="Times New Roman" w:hAnsi="Times New Roman" w:cs="Times New Roman"/>
                <w:b/>
                <w:lang w:val="en-US"/>
              </w:rPr>
            </w:pPr>
            <w:r w:rsidRPr="00E1721B">
              <w:rPr>
                <w:rFonts w:ascii="Times New Roman" w:hAnsi="Times New Roman" w:cs="Times New Roman"/>
                <w:b/>
                <w:lang w:val="en-US"/>
              </w:rPr>
              <w:t xml:space="preserve">Global Aichi Target 6: </w:t>
            </w:r>
            <w:r w:rsidRPr="00E1721B">
              <w:rPr>
                <w:rFonts w:ascii="Times New Roman" w:hAnsi="Times New Roman" w:cs="Times New Roman"/>
                <w:lang w:val="en-US"/>
              </w:rPr>
              <w:t>By 2020 all fish and invertebrate stocks and aquatic plants are managed and harvested sustainably, legally and applying ecosystem based approaches, so that overfishing is avoided, recovery plans and measures are in place for all depleted species, fisheries have no significant adverse impacts on threatened species and vulnerable ecosystems and the impacts of fisheries on stocks, species and ecosystems are within safe ecological limits</w:t>
            </w:r>
            <w:r>
              <w:rPr>
                <w:rFonts w:ascii="Times New Roman" w:hAnsi="Times New Roman" w:cs="Times New Roman"/>
                <w:lang w:val="en-US"/>
              </w:rPr>
              <w:t>.</w:t>
            </w:r>
          </w:p>
        </w:tc>
        <w:tc>
          <w:tcPr>
            <w:tcW w:w="4322" w:type="dxa"/>
            <w:vAlign w:val="center"/>
          </w:tcPr>
          <w:p w:rsidR="00625722" w:rsidRDefault="00625722" w:rsidP="00290342">
            <w:pPr>
              <w:spacing w:before="120" w:after="120"/>
              <w:jc w:val="center"/>
              <w:rPr>
                <w:rFonts w:ascii="Times New Roman" w:hAnsi="Times New Roman" w:cs="Times New Roman"/>
                <w:sz w:val="24"/>
                <w:szCs w:val="24"/>
                <w:lang w:val="en-US"/>
              </w:rPr>
            </w:pPr>
            <w:r>
              <w:rPr>
                <w:noProof/>
                <w:sz w:val="18"/>
                <w:lang w:eastAsia="pt-BR"/>
              </w:rPr>
              <w:drawing>
                <wp:inline distT="0" distB="0" distL="0" distR="0" wp14:anchorId="490A0284" wp14:editId="200F6F6D">
                  <wp:extent cx="405517" cy="405517"/>
                  <wp:effectExtent l="0" t="0" r="0" b="0"/>
                  <wp:docPr id="68" name="Imagem 68" descr="r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d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5666" cy="405666"/>
                          </a:xfrm>
                          <a:prstGeom prst="rect">
                            <a:avLst/>
                          </a:prstGeom>
                          <a:noFill/>
                          <a:ln>
                            <a:noFill/>
                          </a:ln>
                        </pic:spPr>
                      </pic:pic>
                    </a:graphicData>
                  </a:graphic>
                </wp:inline>
              </w:drawing>
            </w:r>
          </w:p>
        </w:tc>
      </w:tr>
    </w:tbl>
    <w:p w:rsidR="00625722" w:rsidRDefault="00625722" w:rsidP="00625722">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The general understanding is that fish stocks, particularly in the coastal and marine zone, are at their limit, but the capacity of fishing vessels and tools has increased, as reflected in the increase in fisheries production (see section 1.2.1.4). Considering this limit, the substitution of part of extractive fisheries with the increasing aquaculture production seems to be an imperative strategy for conservation of fisheries resources. Nevertheless, this simple substitution by itself will not ensure sustainability: an effective network of coastal and marine protected areas that combine sustainable use favoring artisanal fisheries with the full protection regime is essential to allow the conservation of highly sensitive or nursery areas, thus enabling the recovery of fish stocks within and around protected areas.</w:t>
      </w:r>
      <w:r>
        <w:rPr>
          <w:rStyle w:val="Refdenotaderodap"/>
          <w:rFonts w:ascii="Times New Roman" w:hAnsi="Times New Roman" w:cs="Times New Roman"/>
          <w:szCs w:val="24"/>
          <w:lang w:val="en-US"/>
        </w:rPr>
        <w:footnoteReference w:id="9"/>
      </w:r>
    </w:p>
    <w:p w:rsidR="00625722" w:rsidRDefault="00625722" w:rsidP="00625722">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A number of legal instruments (e.g., Normative Rulings) usually published by MMA also seek to establish more sustainable patterns in fisheries activities by defining the list of threatened aquatic species (marine and freshwater) and establishing no-fishing periods to protect reproduction of species targeted by fisheries activities. Joint efforts among federal and state agencies also seek to monitor and enforce compliance of fisheries activities with sustainability instruments.</w:t>
      </w:r>
    </w:p>
    <w:p w:rsidR="00625722" w:rsidRDefault="00625722" w:rsidP="00625722">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Nevertheless, stronger support to actions planned under the REVIMAR Program (see section 1.2.1.4) would be strategic to obtain reliable (and currently lacking) up-to-date crucial data on the current status of living marine resources and the marine habitat which can support decision making, and significantly contribute to the adequate protection and sustainable use of the coastal and marine zone and its living resources. The continuation of complementary efforts for the conservation and monitoring of sensitive habitats and endangered species, such as the Species Conservation Action Plans under </w:t>
      </w:r>
      <w:proofErr w:type="spellStart"/>
      <w:r>
        <w:rPr>
          <w:rFonts w:ascii="Times New Roman" w:hAnsi="Times New Roman" w:cs="Times New Roman"/>
          <w:sz w:val="24"/>
          <w:szCs w:val="24"/>
          <w:lang w:val="en-US"/>
        </w:rPr>
        <w:t>ICMBio</w:t>
      </w:r>
      <w:proofErr w:type="spellEnd"/>
      <w:r>
        <w:rPr>
          <w:rFonts w:ascii="Times New Roman" w:hAnsi="Times New Roman" w:cs="Times New Roman"/>
          <w:sz w:val="24"/>
          <w:szCs w:val="24"/>
          <w:lang w:val="en-US"/>
        </w:rPr>
        <w:t xml:space="preserve"> and the </w:t>
      </w:r>
      <w:proofErr w:type="spellStart"/>
      <w:r>
        <w:rPr>
          <w:rFonts w:ascii="Times New Roman" w:hAnsi="Times New Roman" w:cs="Times New Roman"/>
          <w:sz w:val="24"/>
          <w:szCs w:val="24"/>
          <w:lang w:val="en-US"/>
        </w:rPr>
        <w:t>ReefCheck</w:t>
      </w:r>
      <w:proofErr w:type="spellEnd"/>
      <w:r>
        <w:rPr>
          <w:rFonts w:ascii="Times New Roman" w:hAnsi="Times New Roman" w:cs="Times New Roman"/>
          <w:sz w:val="24"/>
          <w:szCs w:val="24"/>
          <w:lang w:val="en-US"/>
        </w:rPr>
        <w:t xml:space="preserve"> Brazil Program (see section 1.2.1.4), is also crucial to ensure sustainability of these resources.</w:t>
      </w:r>
    </w:p>
    <w:p w:rsidR="00625722" w:rsidRDefault="00625722" w:rsidP="00625722">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Continental aquaculture can be an important tool for the conservation of both marine and continental fisheries resources, but the widespread use of alien species, or Brazilian species outside of their original range, must be seen with caution. Increasing extractive production of alien species such as tilapia clearly indicates their strong presence in open natural habitats. The current success of aquaculture production of some native species should encourage investments in research and development targeting other native fish species of current or potential economic value, to diversify production and make local native species available as a viable economic option to aquaculture producers.</w:t>
      </w:r>
    </w:p>
    <w:p w:rsidR="00625722" w:rsidRDefault="00625722" w:rsidP="00625722">
      <w:pPr>
        <w:spacing w:before="120" w:after="120"/>
        <w:jc w:val="both"/>
        <w:rPr>
          <w:rFonts w:ascii="Times New Roman" w:hAnsi="Times New Roman" w:cs="Times New Roman"/>
          <w:sz w:val="24"/>
          <w:szCs w:val="24"/>
          <w:lang w:val="en-US"/>
        </w:rPr>
      </w:pPr>
    </w:p>
    <w:tbl>
      <w:tblPr>
        <w:tblStyle w:val="Tabelacomgrade"/>
        <w:tblW w:w="0" w:type="auto"/>
        <w:tblLook w:val="04A0" w:firstRow="1" w:lastRow="0" w:firstColumn="1" w:lastColumn="0" w:noHBand="0" w:noVBand="1"/>
      </w:tblPr>
      <w:tblGrid>
        <w:gridCol w:w="4322"/>
        <w:gridCol w:w="4322"/>
      </w:tblGrid>
      <w:tr w:rsidR="00625722" w:rsidRPr="00B55462" w:rsidTr="00290342">
        <w:tc>
          <w:tcPr>
            <w:tcW w:w="4322" w:type="dxa"/>
            <w:shd w:val="clear" w:color="auto" w:fill="C2D69B" w:themeFill="accent3" w:themeFillTint="99"/>
          </w:tcPr>
          <w:p w:rsidR="00625722" w:rsidRDefault="00625722" w:rsidP="00290342">
            <w:pPr>
              <w:spacing w:before="120" w:after="120"/>
              <w:jc w:val="both"/>
              <w:rPr>
                <w:rFonts w:ascii="Times New Roman" w:hAnsi="Times New Roman" w:cs="Times New Roman"/>
                <w:sz w:val="24"/>
                <w:szCs w:val="24"/>
                <w:lang w:val="en-US"/>
              </w:rPr>
            </w:pPr>
            <w:r w:rsidRPr="00452909">
              <w:rPr>
                <w:rFonts w:ascii="Times New Roman" w:hAnsi="Times New Roman" w:cs="Times New Roman"/>
                <w:b/>
                <w:lang w:val="en-US"/>
              </w:rPr>
              <w:t>National Target 7:</w:t>
            </w:r>
            <w:r w:rsidRPr="000A0C9F">
              <w:rPr>
                <w:rFonts w:ascii="Times New Roman" w:hAnsi="Times New Roman" w:cs="Times New Roman"/>
                <w:lang w:val="en-US"/>
              </w:rPr>
              <w:t xml:space="preserve"> By 2020 the incorporation of sustainable management practices is disseminated and promoted in agriculture, livestock production, aquaculture, silviculture, </w:t>
            </w:r>
            <w:proofErr w:type="gramStart"/>
            <w:r w:rsidRPr="000A0C9F">
              <w:rPr>
                <w:rFonts w:ascii="Times New Roman" w:hAnsi="Times New Roman" w:cs="Times New Roman"/>
                <w:lang w:val="en-US"/>
              </w:rPr>
              <w:t>extractive</w:t>
            </w:r>
            <w:proofErr w:type="gramEnd"/>
            <w:r w:rsidRPr="000A0C9F">
              <w:rPr>
                <w:rFonts w:ascii="Times New Roman" w:hAnsi="Times New Roman" w:cs="Times New Roman"/>
                <w:lang w:val="en-US"/>
              </w:rPr>
              <w:t xml:space="preserve"> activities, and forest and fauna management, ensuring conservation of biodiversity.</w:t>
            </w:r>
          </w:p>
        </w:tc>
        <w:tc>
          <w:tcPr>
            <w:tcW w:w="4322" w:type="dxa"/>
            <w:vAlign w:val="center"/>
          </w:tcPr>
          <w:p w:rsidR="00625722" w:rsidRDefault="00625722" w:rsidP="00290342">
            <w:pPr>
              <w:spacing w:before="120" w:after="120"/>
              <w:jc w:val="center"/>
              <w:rPr>
                <w:rFonts w:ascii="Times New Roman" w:hAnsi="Times New Roman" w:cs="Times New Roman"/>
                <w:sz w:val="24"/>
                <w:szCs w:val="24"/>
                <w:lang w:val="en-US"/>
              </w:rPr>
            </w:pPr>
            <w:r>
              <w:rPr>
                <w:noProof/>
                <w:lang w:eastAsia="pt-BR"/>
              </w:rPr>
              <w:drawing>
                <wp:inline distT="0" distB="0" distL="0" distR="0" wp14:anchorId="0B326A8A" wp14:editId="282DDD9E">
                  <wp:extent cx="405517" cy="405517"/>
                  <wp:effectExtent l="0" t="0" r="0" b="0"/>
                  <wp:docPr id="69" name="Imagem 69" descr="circulo_na_metad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circulo_na_metade.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4812" cy="404812"/>
                          </a:xfrm>
                          <a:prstGeom prst="rect">
                            <a:avLst/>
                          </a:prstGeom>
                          <a:noFill/>
                          <a:ln>
                            <a:noFill/>
                          </a:ln>
                        </pic:spPr>
                      </pic:pic>
                    </a:graphicData>
                  </a:graphic>
                </wp:inline>
              </w:drawing>
            </w:r>
          </w:p>
        </w:tc>
      </w:tr>
      <w:tr w:rsidR="00625722" w:rsidRPr="00B55462" w:rsidTr="00290342">
        <w:tc>
          <w:tcPr>
            <w:tcW w:w="4322" w:type="dxa"/>
            <w:shd w:val="clear" w:color="auto" w:fill="EAF1DD" w:themeFill="accent3" w:themeFillTint="33"/>
          </w:tcPr>
          <w:p w:rsidR="00625722" w:rsidRPr="00452909" w:rsidRDefault="00625722" w:rsidP="00290342">
            <w:pPr>
              <w:spacing w:before="120" w:after="120"/>
              <w:jc w:val="both"/>
              <w:rPr>
                <w:rFonts w:ascii="Times New Roman" w:hAnsi="Times New Roman" w:cs="Times New Roman"/>
                <w:b/>
                <w:lang w:val="en-US"/>
              </w:rPr>
            </w:pPr>
            <w:r>
              <w:rPr>
                <w:rFonts w:ascii="Times New Roman" w:hAnsi="Times New Roman" w:cs="Times New Roman"/>
                <w:b/>
                <w:lang w:val="en-US"/>
              </w:rPr>
              <w:t xml:space="preserve">Global Aichi Target 7: </w:t>
            </w:r>
            <w:r w:rsidRPr="00D66CCF">
              <w:rPr>
                <w:rFonts w:ascii="Times New Roman" w:hAnsi="Times New Roman" w:cs="Times New Roman"/>
                <w:lang w:val="en-US"/>
              </w:rPr>
              <w:t xml:space="preserve">By 2020 areas under agriculture, aquaculture and forestry are managed sustainably, ensuring conservation </w:t>
            </w:r>
            <w:r w:rsidRPr="00D66CCF">
              <w:rPr>
                <w:rFonts w:ascii="Times New Roman" w:hAnsi="Times New Roman" w:cs="Times New Roman"/>
                <w:lang w:val="en-US"/>
              </w:rPr>
              <w:lastRenderedPageBreak/>
              <w:t>of biodiversity</w:t>
            </w:r>
            <w:r>
              <w:rPr>
                <w:rFonts w:ascii="Times New Roman" w:hAnsi="Times New Roman" w:cs="Times New Roman"/>
                <w:lang w:val="en-US"/>
              </w:rPr>
              <w:t>.</w:t>
            </w:r>
          </w:p>
        </w:tc>
        <w:tc>
          <w:tcPr>
            <w:tcW w:w="4322" w:type="dxa"/>
            <w:vAlign w:val="center"/>
          </w:tcPr>
          <w:p w:rsidR="00625722" w:rsidRDefault="00625722" w:rsidP="00290342">
            <w:pPr>
              <w:spacing w:before="120" w:after="120"/>
              <w:jc w:val="center"/>
              <w:rPr>
                <w:rFonts w:ascii="Times New Roman" w:hAnsi="Times New Roman" w:cs="Times New Roman"/>
                <w:sz w:val="24"/>
                <w:szCs w:val="24"/>
                <w:lang w:val="en-US"/>
              </w:rPr>
            </w:pPr>
            <w:r>
              <w:rPr>
                <w:noProof/>
                <w:sz w:val="18"/>
                <w:lang w:eastAsia="pt-BR"/>
              </w:rPr>
              <w:lastRenderedPageBreak/>
              <w:drawing>
                <wp:inline distT="0" distB="0" distL="0" distR="0" wp14:anchorId="029BB3B2" wp14:editId="2A49571B">
                  <wp:extent cx="405517" cy="405517"/>
                  <wp:effectExtent l="0" t="0" r="0" b="0"/>
                  <wp:docPr id="70" name="Imagem 70" descr="redfourthgre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dfourthgreen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5586" cy="405586"/>
                          </a:xfrm>
                          <a:prstGeom prst="rect">
                            <a:avLst/>
                          </a:prstGeom>
                          <a:noFill/>
                          <a:ln>
                            <a:noFill/>
                          </a:ln>
                        </pic:spPr>
                      </pic:pic>
                    </a:graphicData>
                  </a:graphic>
                </wp:inline>
              </w:drawing>
            </w:r>
          </w:p>
        </w:tc>
      </w:tr>
    </w:tbl>
    <w:p w:rsidR="00625722" w:rsidRDefault="00625722" w:rsidP="00625722">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Brazil is seeking the ways and means for the sustainability of both the medium scale agricultural production (with initiatives such as the Low Carbon Agriculture Plan) and the family and community-based production of small scale agriculture, extractive activities, and organic/</w:t>
      </w:r>
      <w:proofErr w:type="spellStart"/>
      <w:r>
        <w:rPr>
          <w:rFonts w:ascii="Times New Roman" w:hAnsi="Times New Roman" w:cs="Times New Roman"/>
          <w:sz w:val="24"/>
          <w:szCs w:val="24"/>
          <w:lang w:val="en-US"/>
        </w:rPr>
        <w:t>agroecological</w:t>
      </w:r>
      <w:proofErr w:type="spellEnd"/>
      <w:r>
        <w:rPr>
          <w:rFonts w:ascii="Times New Roman" w:hAnsi="Times New Roman" w:cs="Times New Roman"/>
          <w:sz w:val="24"/>
          <w:szCs w:val="24"/>
          <w:lang w:val="en-US"/>
        </w:rPr>
        <w:t xml:space="preserve"> production through a number of policies and initiatives (see sections 1.2.1.2, 1.4.1.1, and 1.4.7).</w:t>
      </w:r>
    </w:p>
    <w:p w:rsidR="00625722" w:rsidRDefault="00625722" w:rsidP="00625722">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Other notable initiatives also collaborate to Target 7 such as the Green Arc Operation (</w:t>
      </w:r>
      <w:proofErr w:type="spellStart"/>
      <w:r>
        <w:rPr>
          <w:rFonts w:ascii="Times New Roman" w:hAnsi="Times New Roman" w:cs="Times New Roman"/>
          <w:i/>
          <w:sz w:val="24"/>
          <w:szCs w:val="24"/>
          <w:lang w:val="en-US"/>
        </w:rPr>
        <w:t>Operação</w:t>
      </w:r>
      <w:proofErr w:type="spellEnd"/>
      <w:r>
        <w:rPr>
          <w:rFonts w:ascii="Times New Roman" w:hAnsi="Times New Roman" w:cs="Times New Roman"/>
          <w:i/>
          <w:sz w:val="24"/>
          <w:szCs w:val="24"/>
          <w:lang w:val="en-US"/>
        </w:rPr>
        <w:t xml:space="preserve"> Arco Verde</w:t>
      </w:r>
      <w:r>
        <w:rPr>
          <w:rFonts w:ascii="Times New Roman" w:hAnsi="Times New Roman" w:cs="Times New Roman"/>
          <w:sz w:val="24"/>
          <w:szCs w:val="24"/>
          <w:lang w:val="en-US"/>
        </w:rPr>
        <w:t xml:space="preserve">) coordinated by MMA and the President’s Office, which promotes sustainable production models in the priority municipalities for deforestation reduction in the Legal Amazon (those in the area previously known as the Deforestation Arc); provides incentives for the transition from resource-depleting production models to sustainable production models; promotes capacity building of rural producers; and complements actions for deforestation control. </w:t>
      </w:r>
    </w:p>
    <w:p w:rsidR="00625722" w:rsidRDefault="00625722" w:rsidP="00625722">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National Plan on Agroecology and Organic Production, Minimum Price Policy for </w:t>
      </w:r>
      <w:proofErr w:type="spellStart"/>
      <w:r>
        <w:rPr>
          <w:rFonts w:ascii="Times New Roman" w:hAnsi="Times New Roman" w:cs="Times New Roman"/>
          <w:sz w:val="24"/>
          <w:szCs w:val="24"/>
          <w:lang w:val="en-US"/>
        </w:rPr>
        <w:t>Sociobiodiversity</w:t>
      </w:r>
      <w:proofErr w:type="spellEnd"/>
      <w:r>
        <w:rPr>
          <w:rFonts w:ascii="Times New Roman" w:hAnsi="Times New Roman" w:cs="Times New Roman"/>
          <w:sz w:val="24"/>
          <w:szCs w:val="24"/>
          <w:lang w:val="en-US"/>
        </w:rPr>
        <w:t xml:space="preserve">-based Products – </w:t>
      </w:r>
      <w:proofErr w:type="spellStart"/>
      <w:r>
        <w:rPr>
          <w:rFonts w:ascii="Times New Roman" w:hAnsi="Times New Roman" w:cs="Times New Roman"/>
          <w:sz w:val="24"/>
          <w:szCs w:val="24"/>
          <w:lang w:val="en-US"/>
        </w:rPr>
        <w:t>PGPMBio</w:t>
      </w:r>
      <w:proofErr w:type="spellEnd"/>
      <w:r>
        <w:rPr>
          <w:rFonts w:ascii="Times New Roman" w:hAnsi="Times New Roman" w:cs="Times New Roman"/>
          <w:sz w:val="24"/>
          <w:szCs w:val="24"/>
          <w:lang w:val="en-US"/>
        </w:rPr>
        <w:t>; and the federal Food Acquisition Program – PAA and National Program for School Nutrition – PNEA, in addition to several other federal policies</w:t>
      </w:r>
      <w:r w:rsidRPr="00D00465">
        <w:rPr>
          <w:rFonts w:ascii="Times New Roman" w:hAnsi="Times New Roman" w:cs="Times New Roman"/>
          <w:sz w:val="24"/>
          <w:szCs w:val="24"/>
          <w:lang w:val="en-US"/>
        </w:rPr>
        <w:t xml:space="preserve"> </w:t>
      </w:r>
      <w:r>
        <w:rPr>
          <w:rFonts w:ascii="Times New Roman" w:hAnsi="Times New Roman" w:cs="Times New Roman"/>
          <w:sz w:val="24"/>
          <w:szCs w:val="24"/>
          <w:lang w:val="en-US"/>
        </w:rPr>
        <w:t>to promote sustainable extractive and agricultural production, are examples of initiatives with a national scope that also contribute to this target (see sections 1.2.1.2, 1.2.4 and 1.4.7).</w:t>
      </w:r>
    </w:p>
    <w:p w:rsidR="00625722" w:rsidRDefault="00625722" w:rsidP="00625722">
      <w:pPr>
        <w:spacing w:before="120" w:after="120"/>
        <w:jc w:val="both"/>
        <w:rPr>
          <w:rFonts w:ascii="Times New Roman" w:hAnsi="Times New Roman" w:cs="Times New Roman"/>
          <w:sz w:val="24"/>
          <w:szCs w:val="24"/>
          <w:lang w:val="en-US"/>
        </w:rPr>
      </w:pPr>
    </w:p>
    <w:tbl>
      <w:tblPr>
        <w:tblStyle w:val="Tabelacomgrade"/>
        <w:tblW w:w="0" w:type="auto"/>
        <w:tblLook w:val="04A0" w:firstRow="1" w:lastRow="0" w:firstColumn="1" w:lastColumn="0" w:noHBand="0" w:noVBand="1"/>
      </w:tblPr>
      <w:tblGrid>
        <w:gridCol w:w="4322"/>
        <w:gridCol w:w="4322"/>
      </w:tblGrid>
      <w:tr w:rsidR="00625722" w:rsidTr="00290342">
        <w:tc>
          <w:tcPr>
            <w:tcW w:w="4322" w:type="dxa"/>
            <w:shd w:val="clear" w:color="auto" w:fill="C2D69B" w:themeFill="accent3" w:themeFillTint="99"/>
          </w:tcPr>
          <w:p w:rsidR="00625722" w:rsidRDefault="00625722" w:rsidP="00290342">
            <w:pPr>
              <w:spacing w:before="120" w:after="120"/>
              <w:jc w:val="both"/>
              <w:rPr>
                <w:rFonts w:ascii="Times New Roman" w:hAnsi="Times New Roman" w:cs="Times New Roman"/>
                <w:sz w:val="24"/>
                <w:szCs w:val="24"/>
                <w:lang w:val="en-US"/>
              </w:rPr>
            </w:pPr>
            <w:r w:rsidRPr="00452909">
              <w:rPr>
                <w:rFonts w:ascii="Times New Roman" w:hAnsi="Times New Roman" w:cs="Times New Roman"/>
                <w:b/>
                <w:lang w:val="en-US"/>
              </w:rPr>
              <w:t>National Target 8:</w:t>
            </w:r>
            <w:r w:rsidRPr="000A0C9F">
              <w:rPr>
                <w:rFonts w:ascii="Times New Roman" w:hAnsi="Times New Roman" w:cs="Times New Roman"/>
                <w:lang w:val="en-US"/>
              </w:rPr>
              <w:t xml:space="preserve"> By 2020, pollution, including from excess nutrients, has been brought to levels that are not detrimental to ecosystem function and biodiversity.</w:t>
            </w:r>
          </w:p>
        </w:tc>
        <w:tc>
          <w:tcPr>
            <w:tcW w:w="4322" w:type="dxa"/>
            <w:vAlign w:val="center"/>
          </w:tcPr>
          <w:p w:rsidR="00625722" w:rsidRDefault="00625722" w:rsidP="00290342">
            <w:pPr>
              <w:spacing w:before="120" w:after="120"/>
              <w:jc w:val="center"/>
              <w:rPr>
                <w:rFonts w:ascii="Times New Roman" w:hAnsi="Times New Roman" w:cs="Times New Roman"/>
                <w:sz w:val="24"/>
                <w:szCs w:val="24"/>
                <w:lang w:val="en-US"/>
              </w:rPr>
            </w:pPr>
            <w:r>
              <w:rPr>
                <w:noProof/>
                <w:sz w:val="18"/>
                <w:lang w:eastAsia="pt-BR"/>
              </w:rPr>
              <w:drawing>
                <wp:inline distT="0" distB="0" distL="0" distR="0" wp14:anchorId="6C622403" wp14:editId="0C0C71A4">
                  <wp:extent cx="405517" cy="405517"/>
                  <wp:effectExtent l="0" t="0" r="0" b="0"/>
                  <wp:docPr id="71" name="Imagem 71" descr="redfourthgre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dfourthgreen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5586" cy="405586"/>
                          </a:xfrm>
                          <a:prstGeom prst="rect">
                            <a:avLst/>
                          </a:prstGeom>
                          <a:noFill/>
                          <a:ln>
                            <a:noFill/>
                          </a:ln>
                        </pic:spPr>
                      </pic:pic>
                    </a:graphicData>
                  </a:graphic>
                </wp:inline>
              </w:drawing>
            </w:r>
          </w:p>
        </w:tc>
      </w:tr>
      <w:tr w:rsidR="00625722" w:rsidRPr="00D9636E" w:rsidTr="00290342">
        <w:tc>
          <w:tcPr>
            <w:tcW w:w="4322" w:type="dxa"/>
            <w:shd w:val="clear" w:color="auto" w:fill="EAF1DD" w:themeFill="accent3" w:themeFillTint="33"/>
          </w:tcPr>
          <w:p w:rsidR="00625722" w:rsidRPr="00452909" w:rsidRDefault="00625722" w:rsidP="00290342">
            <w:pPr>
              <w:spacing w:before="120" w:after="120"/>
              <w:jc w:val="both"/>
              <w:rPr>
                <w:rFonts w:ascii="Times New Roman" w:hAnsi="Times New Roman" w:cs="Times New Roman"/>
                <w:b/>
                <w:lang w:val="en-US"/>
              </w:rPr>
            </w:pPr>
            <w:r w:rsidRPr="00D9636E">
              <w:rPr>
                <w:rFonts w:ascii="Times New Roman" w:hAnsi="Times New Roman" w:cs="Times New Roman"/>
                <w:b/>
                <w:lang w:val="en-US"/>
              </w:rPr>
              <w:t>Global Aichi Target 8:</w:t>
            </w:r>
            <w:r w:rsidRPr="00D9636E">
              <w:rPr>
                <w:rFonts w:ascii="Times New Roman" w:hAnsi="Times New Roman" w:cs="Times New Roman"/>
                <w:lang w:val="en-US"/>
              </w:rPr>
              <w:t xml:space="preserve"> By 2020, pollution, including from excess nutrients, has been brought to levels that are not detrimental to ecosystem function and biodiversity</w:t>
            </w:r>
            <w:r>
              <w:rPr>
                <w:rFonts w:ascii="Times New Roman" w:hAnsi="Times New Roman" w:cs="Times New Roman"/>
                <w:lang w:val="en-US"/>
              </w:rPr>
              <w:t>.</w:t>
            </w:r>
          </w:p>
        </w:tc>
        <w:tc>
          <w:tcPr>
            <w:tcW w:w="4322" w:type="dxa"/>
            <w:vAlign w:val="center"/>
          </w:tcPr>
          <w:p w:rsidR="00625722" w:rsidRDefault="00625722" w:rsidP="00290342">
            <w:pPr>
              <w:spacing w:before="120" w:after="120"/>
              <w:jc w:val="center"/>
              <w:rPr>
                <w:rFonts w:ascii="Times New Roman" w:hAnsi="Times New Roman" w:cs="Times New Roman"/>
                <w:sz w:val="24"/>
                <w:szCs w:val="24"/>
                <w:lang w:val="en-US"/>
              </w:rPr>
            </w:pPr>
            <w:r>
              <w:rPr>
                <w:noProof/>
                <w:sz w:val="18"/>
                <w:lang w:eastAsia="pt-BR"/>
              </w:rPr>
              <w:drawing>
                <wp:inline distT="0" distB="0" distL="0" distR="0" wp14:anchorId="54705F4B" wp14:editId="76049B5B">
                  <wp:extent cx="405517" cy="405517"/>
                  <wp:effectExtent l="0" t="0" r="0" b="0"/>
                  <wp:docPr id="72" name="Imagem 72" descr="redfourthgre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dfourthgreen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5586" cy="405586"/>
                          </a:xfrm>
                          <a:prstGeom prst="rect">
                            <a:avLst/>
                          </a:prstGeom>
                          <a:noFill/>
                          <a:ln>
                            <a:noFill/>
                          </a:ln>
                        </pic:spPr>
                      </pic:pic>
                    </a:graphicData>
                  </a:graphic>
                </wp:inline>
              </w:drawing>
            </w:r>
          </w:p>
        </w:tc>
      </w:tr>
    </w:tbl>
    <w:p w:rsidR="00625722" w:rsidRDefault="00625722" w:rsidP="00625722">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Despite some recent progress to expand the provision of domestic wastewater collection and treatment services, treated and untreated domestic wastewater are still an important source of water pollution, particularly in urban areas. This source is also a relevant contribution to organic loads in Brazilian water bodies, together with agriculture runoff (see sections 1.2.1.3 and 1.3.1). In 2010, 15.2% of the main Brazilian rivers presented some type of critical status: 10.9% faced critical conditions regarding water quantity, 1.5% regarding water quality, and 2.8% faced critical conditions regarding both water quantity and quality.</w:t>
      </w:r>
    </w:p>
    <w:p w:rsidR="00625722" w:rsidRDefault="00625722" w:rsidP="00625722">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collection and treatment of solid waste is a responsibility of the municipality and historical data is very incomplete on this theme, with a varying number of municipalities providing data in different years. Nevertheless, available data for the period 2003-2011 indicate an increase in the number of municipalities that offer the service of domestic solid waste collection from 95 in 2003 to 1,288 municipalities in 2011 (out of a total of 5,565 municipalities). The average </w:t>
      </w:r>
      <w:r w:rsidRPr="0057619F">
        <w:rPr>
          <w:rFonts w:ascii="Times New Roman" w:hAnsi="Times New Roman" w:cs="Times New Roman"/>
          <w:i/>
          <w:sz w:val="24"/>
          <w:szCs w:val="24"/>
          <w:lang w:val="en-US"/>
        </w:rPr>
        <w:t>per capita</w:t>
      </w:r>
      <w:r>
        <w:rPr>
          <w:rFonts w:ascii="Times New Roman" w:hAnsi="Times New Roman" w:cs="Times New Roman"/>
          <w:sz w:val="24"/>
          <w:szCs w:val="24"/>
          <w:lang w:val="en-US"/>
        </w:rPr>
        <w:t xml:space="preserve"> generation of solid waste seems to vary between 0.72 and 1.30 kg/habitant/day. Where present, the service of solid waste collection addresses between 95.3 to 100% of the urban population, although the reported rates of recycling compared to total waste collected have not yet surpassed 5.79% (see section 1.3.7).</w:t>
      </w:r>
    </w:p>
    <w:p w:rsidR="00625722" w:rsidRDefault="00625722" w:rsidP="00625722">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Brazil still lacks efficient air pollution monitoring systems capable of providing continuous, sufficient and reliable data to allow the construction of adequate and comparable local or regional diagnoses on air quality.</w:t>
      </w:r>
      <w:r>
        <w:rPr>
          <w:rStyle w:val="Refdenotaderodap"/>
          <w:rFonts w:ascii="Times New Roman" w:hAnsi="Times New Roman" w:cs="Times New Roman"/>
          <w:szCs w:val="24"/>
          <w:lang w:val="en-US"/>
        </w:rPr>
        <w:footnoteReference w:id="10"/>
      </w:r>
      <w:r>
        <w:rPr>
          <w:rFonts w:ascii="Times New Roman" w:hAnsi="Times New Roman" w:cs="Times New Roman"/>
          <w:sz w:val="24"/>
          <w:szCs w:val="24"/>
          <w:lang w:val="en-US"/>
        </w:rPr>
        <w:t xml:space="preserve"> Nevertheless, Brazil has already brought down to zero the consumption of CFCs in </w:t>
      </w:r>
      <w:proofErr w:type="gramStart"/>
      <w:r>
        <w:rPr>
          <w:rFonts w:ascii="Times New Roman" w:hAnsi="Times New Roman" w:cs="Times New Roman"/>
          <w:sz w:val="24"/>
          <w:szCs w:val="24"/>
          <w:lang w:val="en-US"/>
        </w:rPr>
        <w:t>2010,</w:t>
      </w:r>
      <w:proofErr w:type="gramEnd"/>
      <w:r>
        <w:rPr>
          <w:rFonts w:ascii="Times New Roman" w:hAnsi="Times New Roman" w:cs="Times New Roman"/>
          <w:sz w:val="24"/>
          <w:szCs w:val="24"/>
          <w:lang w:val="en-US"/>
        </w:rPr>
        <w:t xml:space="preserve"> and of methyl bromide in 2006; and although still high, greenhouse gas emissions have reduced significantly (see section 1.3.7).</w:t>
      </w:r>
      <w:r>
        <w:rPr>
          <w:rStyle w:val="Refdenotaderodap"/>
          <w:rFonts w:ascii="Times New Roman" w:hAnsi="Times New Roman" w:cs="Times New Roman"/>
          <w:szCs w:val="24"/>
          <w:lang w:val="en-US"/>
        </w:rPr>
        <w:footnoteReference w:id="11"/>
      </w:r>
    </w:p>
    <w:p w:rsidR="00625722" w:rsidRDefault="00625722" w:rsidP="00625722">
      <w:pPr>
        <w:spacing w:before="120" w:after="120"/>
        <w:jc w:val="both"/>
        <w:rPr>
          <w:rFonts w:ascii="Times New Roman" w:hAnsi="Times New Roman" w:cs="Times New Roman"/>
          <w:sz w:val="24"/>
          <w:szCs w:val="24"/>
          <w:lang w:val="en-US"/>
        </w:rPr>
      </w:pPr>
    </w:p>
    <w:tbl>
      <w:tblPr>
        <w:tblStyle w:val="Tabelacomgrade"/>
        <w:tblW w:w="0" w:type="auto"/>
        <w:tblLook w:val="04A0" w:firstRow="1" w:lastRow="0" w:firstColumn="1" w:lastColumn="0" w:noHBand="0" w:noVBand="1"/>
      </w:tblPr>
      <w:tblGrid>
        <w:gridCol w:w="4322"/>
        <w:gridCol w:w="4322"/>
      </w:tblGrid>
      <w:tr w:rsidR="00625722" w:rsidRPr="00B55462" w:rsidTr="00290342">
        <w:tc>
          <w:tcPr>
            <w:tcW w:w="4322" w:type="dxa"/>
            <w:shd w:val="clear" w:color="auto" w:fill="C2D69B" w:themeFill="accent3" w:themeFillTint="99"/>
          </w:tcPr>
          <w:p w:rsidR="00625722" w:rsidRDefault="00625722" w:rsidP="00290342">
            <w:pPr>
              <w:spacing w:before="120" w:after="120"/>
              <w:jc w:val="both"/>
              <w:rPr>
                <w:rFonts w:ascii="Times New Roman" w:hAnsi="Times New Roman" w:cs="Times New Roman"/>
                <w:sz w:val="24"/>
                <w:szCs w:val="24"/>
                <w:lang w:val="en-US"/>
              </w:rPr>
            </w:pPr>
            <w:r w:rsidRPr="00452909">
              <w:rPr>
                <w:rFonts w:ascii="Times New Roman" w:hAnsi="Times New Roman" w:cs="Times New Roman"/>
                <w:b/>
                <w:lang w:val="en-US"/>
              </w:rPr>
              <w:t>National Target 9:</w:t>
            </w:r>
            <w:r w:rsidRPr="000A0C9F">
              <w:rPr>
                <w:rFonts w:ascii="Times New Roman" w:hAnsi="Times New Roman" w:cs="Times New Roman"/>
                <w:lang w:val="en-US"/>
              </w:rPr>
              <w:t xml:space="preserve"> By 2020, the National Strategy on Invasive Alien Species is fully implemented, with the participation and commitment of states and the elaboration of a National Policy, ensuring the continuous and updated diagnosis of species and the effectiveness of Action Plans for Prevention, Contention and Control.</w:t>
            </w:r>
          </w:p>
        </w:tc>
        <w:tc>
          <w:tcPr>
            <w:tcW w:w="4322" w:type="dxa"/>
            <w:vAlign w:val="center"/>
          </w:tcPr>
          <w:p w:rsidR="00625722" w:rsidRDefault="00625722" w:rsidP="00290342">
            <w:pPr>
              <w:spacing w:before="120" w:after="120"/>
              <w:jc w:val="center"/>
              <w:rPr>
                <w:rFonts w:ascii="Times New Roman" w:hAnsi="Times New Roman" w:cs="Times New Roman"/>
                <w:sz w:val="24"/>
                <w:szCs w:val="24"/>
                <w:lang w:val="en-US"/>
              </w:rPr>
            </w:pPr>
            <w:r>
              <w:rPr>
                <w:noProof/>
                <w:sz w:val="18"/>
                <w:lang w:eastAsia="pt-BR"/>
              </w:rPr>
              <w:drawing>
                <wp:inline distT="0" distB="0" distL="0" distR="0" wp14:anchorId="29C8ED78" wp14:editId="1C4ACE5E">
                  <wp:extent cx="448574" cy="448574"/>
                  <wp:effectExtent l="0" t="0" r="8890" b="8890"/>
                  <wp:docPr id="54" name="Imagem 54" descr="redfourthgre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dfourthgreen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5350" cy="445350"/>
                          </a:xfrm>
                          <a:prstGeom prst="rect">
                            <a:avLst/>
                          </a:prstGeom>
                          <a:noFill/>
                          <a:ln>
                            <a:noFill/>
                          </a:ln>
                        </pic:spPr>
                      </pic:pic>
                    </a:graphicData>
                  </a:graphic>
                </wp:inline>
              </w:drawing>
            </w:r>
          </w:p>
        </w:tc>
      </w:tr>
      <w:tr w:rsidR="00625722" w:rsidRPr="00B55462" w:rsidTr="00290342">
        <w:tc>
          <w:tcPr>
            <w:tcW w:w="4322" w:type="dxa"/>
            <w:shd w:val="clear" w:color="auto" w:fill="EAF1DD" w:themeFill="accent3" w:themeFillTint="33"/>
          </w:tcPr>
          <w:p w:rsidR="00625722" w:rsidRPr="009B64A4" w:rsidRDefault="00625722" w:rsidP="00290342">
            <w:pPr>
              <w:spacing w:before="120" w:after="120"/>
              <w:jc w:val="both"/>
              <w:rPr>
                <w:rFonts w:ascii="Times New Roman" w:hAnsi="Times New Roman" w:cs="Times New Roman"/>
                <w:lang w:val="en-US"/>
              </w:rPr>
            </w:pPr>
            <w:r>
              <w:rPr>
                <w:rFonts w:ascii="Times New Roman" w:hAnsi="Times New Roman" w:cs="Times New Roman"/>
                <w:b/>
                <w:lang w:val="en-US"/>
              </w:rPr>
              <w:t xml:space="preserve">Global Aichi Target 9: </w:t>
            </w:r>
            <w:r w:rsidRPr="009B64A4">
              <w:rPr>
                <w:rFonts w:ascii="Times New Roman" w:hAnsi="Times New Roman" w:cs="Times New Roman"/>
                <w:lang w:val="en-US"/>
              </w:rPr>
              <w:t>By 2020, invasive alien species and pathways are identified and prioritized, priority species are controlled or eradicated, and measures are in place to manage pathways to prevent their introduction and establishment</w:t>
            </w:r>
            <w:r>
              <w:rPr>
                <w:rFonts w:ascii="Times New Roman" w:hAnsi="Times New Roman" w:cs="Times New Roman"/>
                <w:lang w:val="en-US"/>
              </w:rPr>
              <w:t>.</w:t>
            </w:r>
          </w:p>
        </w:tc>
        <w:tc>
          <w:tcPr>
            <w:tcW w:w="4322" w:type="dxa"/>
            <w:vAlign w:val="center"/>
          </w:tcPr>
          <w:p w:rsidR="00625722" w:rsidRPr="009B64A4" w:rsidRDefault="00625722" w:rsidP="00290342">
            <w:pPr>
              <w:spacing w:before="120" w:after="120"/>
              <w:jc w:val="center"/>
              <w:rPr>
                <w:noProof/>
                <w:sz w:val="18"/>
                <w:lang w:val="en-US" w:eastAsia="pt-BR"/>
              </w:rPr>
            </w:pPr>
            <w:r>
              <w:rPr>
                <w:noProof/>
                <w:sz w:val="18"/>
                <w:lang w:eastAsia="pt-BR"/>
              </w:rPr>
              <w:drawing>
                <wp:inline distT="0" distB="0" distL="0" distR="0" wp14:anchorId="7CDBA158" wp14:editId="10C9ABD3">
                  <wp:extent cx="422694" cy="422694"/>
                  <wp:effectExtent l="0" t="0" r="0" b="0"/>
                  <wp:docPr id="74" name="Imagem 74" descr="r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d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2929" cy="422929"/>
                          </a:xfrm>
                          <a:prstGeom prst="rect">
                            <a:avLst/>
                          </a:prstGeom>
                          <a:noFill/>
                          <a:ln>
                            <a:noFill/>
                          </a:ln>
                        </pic:spPr>
                      </pic:pic>
                    </a:graphicData>
                  </a:graphic>
                </wp:inline>
              </w:drawing>
            </w:r>
          </w:p>
        </w:tc>
      </w:tr>
    </w:tbl>
    <w:p w:rsidR="00625722" w:rsidRDefault="00625722" w:rsidP="00625722">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Numerous alien species have been detected, are established or have become invasive in Brazilian terrestrial, freshwater and marine habitats (see Brazil’s 4</w:t>
      </w:r>
      <w:r w:rsidRPr="007F2E6D">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National Report to the CBD and section 1.3.2 of the present Report).</w:t>
      </w:r>
    </w:p>
    <w:p w:rsidR="00625722" w:rsidRDefault="00625722" w:rsidP="00625722">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Although this target is still far from being reached, in 2013 a draft Ruling (</w:t>
      </w:r>
      <w:proofErr w:type="spellStart"/>
      <w:r>
        <w:rPr>
          <w:rFonts w:ascii="Times New Roman" w:hAnsi="Times New Roman" w:cs="Times New Roman"/>
          <w:i/>
          <w:sz w:val="24"/>
          <w:szCs w:val="24"/>
          <w:lang w:val="en-US"/>
        </w:rPr>
        <w:t>Portaria</w:t>
      </w:r>
      <w:proofErr w:type="spellEnd"/>
      <w:r>
        <w:rPr>
          <w:rFonts w:ascii="Times New Roman" w:hAnsi="Times New Roman" w:cs="Times New Roman"/>
          <w:sz w:val="24"/>
          <w:szCs w:val="24"/>
          <w:lang w:val="en-US"/>
        </w:rPr>
        <w:t xml:space="preserve">) was prepared to institutionalize the priority alien invasive species to be targeted by management and control actions. If approved, this instrument will represent the first time that Brazil officially recognizes a list of alien invasive species and an important step towards the implementation of the National Strategy on Alien Invasive Species, which has been in place since October 2009. MMA is also currently preparing a federal Decree to officially adopt this Strategy and promote its implementation at the federal, state and municipal levels. Additionally, in 2012 a Presidential request (still under analysis) was presented to Congress for the ratification of the 2010 Nagoya Protocol. The MMA is also revising and publishing inventories of actual and potential alien invasive species present in Brazil (see section 1.3.2). </w:t>
      </w:r>
    </w:p>
    <w:p w:rsidR="00625722" w:rsidRDefault="00625722" w:rsidP="00625722">
      <w:pPr>
        <w:spacing w:before="120" w:after="120"/>
        <w:jc w:val="both"/>
        <w:rPr>
          <w:rFonts w:ascii="Times New Roman" w:hAnsi="Times New Roman" w:cs="Times New Roman"/>
          <w:sz w:val="24"/>
          <w:szCs w:val="24"/>
          <w:lang w:val="en-US"/>
        </w:rPr>
      </w:pPr>
    </w:p>
    <w:tbl>
      <w:tblPr>
        <w:tblStyle w:val="Tabelacomgrade"/>
        <w:tblW w:w="0" w:type="auto"/>
        <w:tblLook w:val="04A0" w:firstRow="1" w:lastRow="0" w:firstColumn="1" w:lastColumn="0" w:noHBand="0" w:noVBand="1"/>
      </w:tblPr>
      <w:tblGrid>
        <w:gridCol w:w="4322"/>
        <w:gridCol w:w="4322"/>
      </w:tblGrid>
      <w:tr w:rsidR="00625722" w:rsidRPr="00B55462" w:rsidTr="00290342">
        <w:tc>
          <w:tcPr>
            <w:tcW w:w="4322" w:type="dxa"/>
            <w:shd w:val="clear" w:color="auto" w:fill="C2D69B" w:themeFill="accent3" w:themeFillTint="99"/>
          </w:tcPr>
          <w:p w:rsidR="00625722" w:rsidRDefault="00625722" w:rsidP="00290342">
            <w:pPr>
              <w:spacing w:before="120" w:after="120"/>
              <w:jc w:val="both"/>
              <w:rPr>
                <w:rFonts w:ascii="Times New Roman" w:hAnsi="Times New Roman" w:cs="Times New Roman"/>
                <w:sz w:val="24"/>
                <w:szCs w:val="24"/>
                <w:lang w:val="en-US"/>
              </w:rPr>
            </w:pPr>
            <w:r w:rsidRPr="00452909">
              <w:rPr>
                <w:rFonts w:ascii="Times New Roman" w:hAnsi="Times New Roman" w:cs="Times New Roman"/>
                <w:b/>
                <w:lang w:val="en-US"/>
              </w:rPr>
              <w:t>National Target 10:</w:t>
            </w:r>
            <w:r w:rsidRPr="000A0C9F">
              <w:rPr>
                <w:rFonts w:ascii="Times New Roman" w:hAnsi="Times New Roman" w:cs="Times New Roman"/>
                <w:lang w:val="en-US"/>
              </w:rPr>
              <w:t xml:space="preserve"> By 2015, the multiple anthropogenic pressures on coral reefs, and other marine and coastal ecosystems impacted by climate change or ocean acidification are minimized, so as to maintain their integrity and functioning.</w:t>
            </w:r>
          </w:p>
        </w:tc>
        <w:tc>
          <w:tcPr>
            <w:tcW w:w="4322" w:type="dxa"/>
            <w:vAlign w:val="center"/>
          </w:tcPr>
          <w:p w:rsidR="00625722" w:rsidRDefault="00625722" w:rsidP="00290342">
            <w:pPr>
              <w:spacing w:before="120" w:after="120"/>
              <w:jc w:val="center"/>
              <w:rPr>
                <w:rFonts w:ascii="Times New Roman" w:hAnsi="Times New Roman" w:cs="Times New Roman"/>
                <w:sz w:val="24"/>
                <w:szCs w:val="24"/>
                <w:lang w:val="en-US"/>
              </w:rPr>
            </w:pPr>
            <w:r>
              <w:rPr>
                <w:noProof/>
                <w:sz w:val="18"/>
                <w:lang w:eastAsia="pt-BR"/>
              </w:rPr>
              <w:drawing>
                <wp:inline distT="0" distB="0" distL="0" distR="0" wp14:anchorId="23D18510" wp14:editId="37EA6E43">
                  <wp:extent cx="405517" cy="405517"/>
                  <wp:effectExtent l="0" t="0" r="0" b="0"/>
                  <wp:docPr id="76" name="Imagem 76" descr="redfourthgre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dfourthgreen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5586" cy="405586"/>
                          </a:xfrm>
                          <a:prstGeom prst="rect">
                            <a:avLst/>
                          </a:prstGeom>
                          <a:noFill/>
                          <a:ln>
                            <a:noFill/>
                          </a:ln>
                        </pic:spPr>
                      </pic:pic>
                    </a:graphicData>
                  </a:graphic>
                </wp:inline>
              </w:drawing>
            </w:r>
          </w:p>
        </w:tc>
      </w:tr>
      <w:tr w:rsidR="00625722" w:rsidRPr="00B55462" w:rsidTr="00290342">
        <w:tc>
          <w:tcPr>
            <w:tcW w:w="4322" w:type="dxa"/>
            <w:shd w:val="clear" w:color="auto" w:fill="EAF1DD" w:themeFill="accent3" w:themeFillTint="33"/>
          </w:tcPr>
          <w:p w:rsidR="00625722" w:rsidRPr="00452909" w:rsidRDefault="00625722" w:rsidP="00290342">
            <w:pPr>
              <w:spacing w:before="120" w:after="120"/>
              <w:jc w:val="both"/>
              <w:rPr>
                <w:rFonts w:ascii="Times New Roman" w:hAnsi="Times New Roman" w:cs="Times New Roman"/>
                <w:b/>
                <w:lang w:val="en-US"/>
              </w:rPr>
            </w:pPr>
            <w:r>
              <w:rPr>
                <w:rFonts w:ascii="Times New Roman" w:hAnsi="Times New Roman" w:cs="Times New Roman"/>
                <w:b/>
                <w:lang w:val="en-US"/>
              </w:rPr>
              <w:lastRenderedPageBreak/>
              <w:t xml:space="preserve">Global Aichi Target 10: </w:t>
            </w:r>
            <w:r w:rsidRPr="00B02150">
              <w:rPr>
                <w:rFonts w:ascii="Times New Roman" w:hAnsi="Times New Roman" w:cs="Times New Roman"/>
                <w:lang w:val="en-US"/>
              </w:rPr>
              <w:t>By 2015, the multiple anthropogenic pressures on coral reefs, and other vulnerable ecosystems impacted by climate change or ocean acidification are minimized, so as to maintain their integrity and functioning</w:t>
            </w:r>
            <w:r>
              <w:rPr>
                <w:rFonts w:ascii="Times New Roman" w:hAnsi="Times New Roman" w:cs="Times New Roman"/>
                <w:lang w:val="en-US"/>
              </w:rPr>
              <w:t>.</w:t>
            </w:r>
          </w:p>
        </w:tc>
        <w:tc>
          <w:tcPr>
            <w:tcW w:w="4322" w:type="dxa"/>
            <w:vAlign w:val="center"/>
          </w:tcPr>
          <w:p w:rsidR="00625722" w:rsidRDefault="00625722" w:rsidP="00290342">
            <w:pPr>
              <w:spacing w:before="120" w:after="120"/>
              <w:jc w:val="center"/>
              <w:rPr>
                <w:rFonts w:ascii="Times New Roman" w:hAnsi="Times New Roman" w:cs="Times New Roman"/>
                <w:sz w:val="24"/>
                <w:szCs w:val="24"/>
                <w:lang w:val="en-US"/>
              </w:rPr>
            </w:pPr>
            <w:r>
              <w:rPr>
                <w:noProof/>
                <w:sz w:val="18"/>
                <w:lang w:eastAsia="pt-BR"/>
              </w:rPr>
              <w:drawing>
                <wp:inline distT="0" distB="0" distL="0" distR="0" wp14:anchorId="3794C3B4" wp14:editId="61248F2E">
                  <wp:extent cx="405517" cy="405517"/>
                  <wp:effectExtent l="0" t="0" r="0" b="0"/>
                  <wp:docPr id="77" name="Imagem 77" descr="redfourthgre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dfourthgreen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5586" cy="405586"/>
                          </a:xfrm>
                          <a:prstGeom prst="rect">
                            <a:avLst/>
                          </a:prstGeom>
                          <a:noFill/>
                          <a:ln>
                            <a:noFill/>
                          </a:ln>
                        </pic:spPr>
                      </pic:pic>
                    </a:graphicData>
                  </a:graphic>
                </wp:inline>
              </w:drawing>
            </w:r>
          </w:p>
        </w:tc>
      </w:tr>
    </w:tbl>
    <w:p w:rsidR="00625722" w:rsidRDefault="00625722" w:rsidP="00625722">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best indicators for the control of pressures on coral reefs are the existence and effectiveness of protected areas to conserve these habitats. </w:t>
      </w:r>
      <w:proofErr w:type="spellStart"/>
      <w:r>
        <w:rPr>
          <w:rFonts w:ascii="Times New Roman" w:hAnsi="Times New Roman" w:cs="Times New Roman"/>
          <w:sz w:val="24"/>
          <w:szCs w:val="24"/>
          <w:lang w:val="en-US"/>
        </w:rPr>
        <w:t>Prates</w:t>
      </w:r>
      <w:proofErr w:type="spellEnd"/>
      <w:r>
        <w:rPr>
          <w:rFonts w:ascii="Times New Roman" w:hAnsi="Times New Roman" w:cs="Times New Roman"/>
          <w:sz w:val="24"/>
          <w:szCs w:val="24"/>
          <w:lang w:val="en-US"/>
        </w:rPr>
        <w:t xml:space="preserve"> (2003)</w:t>
      </w:r>
      <w:r>
        <w:rPr>
          <w:rStyle w:val="Refdenotaderodap"/>
          <w:rFonts w:ascii="Times New Roman" w:hAnsi="Times New Roman" w:cs="Times New Roman"/>
          <w:szCs w:val="24"/>
          <w:lang w:val="en-US"/>
        </w:rPr>
        <w:footnoteReference w:id="12"/>
      </w:r>
      <w:r>
        <w:rPr>
          <w:rFonts w:ascii="Times New Roman" w:hAnsi="Times New Roman" w:cs="Times New Roman"/>
          <w:sz w:val="24"/>
          <w:szCs w:val="24"/>
          <w:lang w:val="en-US"/>
        </w:rPr>
        <w:t xml:space="preserve"> assessed the representativeness of coral reef protection in Brazil and the effectiveness of selected protected areas, concluding that over 80% of the top portions of shallow corals are already being protected by some type of protected area, over 30% of which are full protection protected areas. However, as there is a trend to create protected areas over the shallower and more visible reefs, the undetected submerged portion may be less represented in these protected areas.</w:t>
      </w:r>
      <w:r>
        <w:rPr>
          <w:rStyle w:val="Refdenotaderodap"/>
          <w:rFonts w:ascii="Times New Roman" w:hAnsi="Times New Roman" w:cs="Times New Roman"/>
          <w:szCs w:val="24"/>
          <w:lang w:val="en-US"/>
        </w:rPr>
        <w:footnoteReference w:id="13"/>
      </w:r>
    </w:p>
    <w:p w:rsidR="00625722" w:rsidRDefault="00625722" w:rsidP="00625722">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Mangroves and other coastal ecosystems are still being significantly impacted by coastal development and other habitat conversion, and pollution and sediment discharge, among other factors. It is estimated that approximately 25% of Brazilian original mangroves have already been lost. Although 75% of remaining mangroves are located within protected areas, most of this extension is within Environmental Protection Areas – APA, which usually present the lowest performance in the effectiveness of protection. O</w:t>
      </w:r>
      <w:r w:rsidRPr="003C347B">
        <w:rPr>
          <w:rFonts w:ascii="Times New Roman" w:hAnsi="Times New Roman" w:cs="Times New Roman"/>
          <w:sz w:val="24"/>
          <w:szCs w:val="24"/>
          <w:lang w:val="en-US"/>
        </w:rPr>
        <w:t xml:space="preserve">nly 13.1% </w:t>
      </w:r>
      <w:r>
        <w:rPr>
          <w:rFonts w:ascii="Times New Roman" w:hAnsi="Times New Roman" w:cs="Times New Roman"/>
          <w:sz w:val="24"/>
          <w:szCs w:val="24"/>
          <w:lang w:val="en-US"/>
        </w:rPr>
        <w:t xml:space="preserve">of remaining mangroves are located </w:t>
      </w:r>
      <w:r w:rsidRPr="003C347B">
        <w:rPr>
          <w:rFonts w:ascii="Times New Roman" w:hAnsi="Times New Roman" w:cs="Times New Roman"/>
          <w:sz w:val="24"/>
          <w:szCs w:val="24"/>
          <w:lang w:val="en-US"/>
        </w:rPr>
        <w:t>in full protection protected areas</w:t>
      </w:r>
      <w:r>
        <w:rPr>
          <w:rFonts w:ascii="Times New Roman" w:hAnsi="Times New Roman" w:cs="Times New Roman"/>
          <w:sz w:val="24"/>
          <w:szCs w:val="24"/>
          <w:lang w:val="en-US"/>
        </w:rPr>
        <w:t>.</w:t>
      </w:r>
      <w:r>
        <w:rPr>
          <w:rStyle w:val="Refdenotaderodap"/>
          <w:rFonts w:ascii="Times New Roman" w:hAnsi="Times New Roman" w:cs="Times New Roman"/>
          <w:szCs w:val="24"/>
          <w:lang w:val="en-US"/>
        </w:rPr>
        <w:footnoteReference w:id="14"/>
      </w:r>
      <w:r>
        <w:rPr>
          <w:rFonts w:ascii="Times New Roman" w:hAnsi="Times New Roman" w:cs="Times New Roman"/>
          <w:sz w:val="24"/>
          <w:szCs w:val="24"/>
          <w:lang w:val="en-US"/>
        </w:rPr>
        <w:t xml:space="preserve"> The national monitoring of mangrove areas is being carried out by the Remote Sensing Center of IBAMA – CSR/IBAMA, where maps of all Brazilian mangrove areas (totaling 1,225,444 hectares in 2009, corresponding to 9% of global mangroves) are currently being produced based on revised 2010 and 2011 data. Updated maps from 2010 onward should be available by the end of 2014.</w:t>
      </w:r>
    </w:p>
    <w:p w:rsidR="00625722" w:rsidRPr="00EC2A1E" w:rsidRDefault="00625722" w:rsidP="00625722">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The continuous assessment of six protected areas containing coral reefs is being carried out by the National Program for Monitoring Coral Reefs (</w:t>
      </w:r>
      <w:proofErr w:type="spellStart"/>
      <w:r>
        <w:rPr>
          <w:rFonts w:ascii="Times New Roman" w:hAnsi="Times New Roman" w:cs="Times New Roman"/>
          <w:sz w:val="24"/>
          <w:szCs w:val="24"/>
          <w:lang w:val="en-US"/>
        </w:rPr>
        <w:t>ReefCheck</w:t>
      </w:r>
      <w:proofErr w:type="spellEnd"/>
      <w:r>
        <w:rPr>
          <w:rFonts w:ascii="Times New Roman" w:hAnsi="Times New Roman" w:cs="Times New Roman"/>
          <w:sz w:val="24"/>
          <w:szCs w:val="24"/>
          <w:lang w:val="en-US"/>
        </w:rPr>
        <w:t xml:space="preserve"> Brazil), which has been monitoring reef ecosystems inside and outside protected areas since 2002 with </w:t>
      </w:r>
      <w:proofErr w:type="spellStart"/>
      <w:r>
        <w:rPr>
          <w:rFonts w:ascii="Times New Roman" w:hAnsi="Times New Roman" w:cs="Times New Roman"/>
          <w:sz w:val="24"/>
          <w:szCs w:val="24"/>
          <w:lang w:val="en-US"/>
        </w:rPr>
        <w:t>ReefCheck</w:t>
      </w:r>
      <w:proofErr w:type="spellEnd"/>
      <w:r>
        <w:rPr>
          <w:rFonts w:ascii="Times New Roman" w:hAnsi="Times New Roman" w:cs="Times New Roman"/>
          <w:sz w:val="24"/>
          <w:szCs w:val="24"/>
          <w:lang w:val="en-US"/>
        </w:rPr>
        <w:t xml:space="preserve"> methodology. The 2002-2012 data series produced by this Program is currently being revised for publication by the end of 2014 and preliminary results suggest the trend that no-take areas tend to contain higher quantities of larger specimens and higher species diversity than areas where fishing activities are allowed (see section 1.2.1.4). </w:t>
      </w:r>
    </w:p>
    <w:p w:rsidR="00625722" w:rsidRDefault="00625722" w:rsidP="00625722">
      <w:pPr>
        <w:spacing w:before="120" w:after="120"/>
        <w:jc w:val="both"/>
        <w:rPr>
          <w:rFonts w:ascii="Times New Roman" w:hAnsi="Times New Roman" w:cs="Times New Roman"/>
          <w:sz w:val="24"/>
          <w:szCs w:val="24"/>
          <w:lang w:val="en-US"/>
        </w:rPr>
      </w:pPr>
    </w:p>
    <w:tbl>
      <w:tblPr>
        <w:tblStyle w:val="Tabelacomgrade"/>
        <w:tblW w:w="0" w:type="auto"/>
        <w:tblLook w:val="04A0" w:firstRow="1" w:lastRow="0" w:firstColumn="1" w:lastColumn="0" w:noHBand="0" w:noVBand="1"/>
      </w:tblPr>
      <w:tblGrid>
        <w:gridCol w:w="4322"/>
        <w:gridCol w:w="4322"/>
      </w:tblGrid>
      <w:tr w:rsidR="00625722" w:rsidRPr="00B55462" w:rsidTr="00290342">
        <w:tc>
          <w:tcPr>
            <w:tcW w:w="4322" w:type="dxa"/>
            <w:shd w:val="clear" w:color="auto" w:fill="C2D69B" w:themeFill="accent3" w:themeFillTint="99"/>
          </w:tcPr>
          <w:p w:rsidR="00625722" w:rsidRDefault="00625722" w:rsidP="00290342">
            <w:pPr>
              <w:spacing w:before="120" w:after="120"/>
              <w:jc w:val="both"/>
              <w:rPr>
                <w:rFonts w:ascii="Times New Roman" w:hAnsi="Times New Roman" w:cs="Times New Roman"/>
                <w:sz w:val="24"/>
                <w:szCs w:val="24"/>
                <w:lang w:val="en-US"/>
              </w:rPr>
            </w:pPr>
            <w:r w:rsidRPr="00452909">
              <w:rPr>
                <w:rFonts w:ascii="Times New Roman" w:hAnsi="Times New Roman" w:cs="Times New Roman"/>
                <w:b/>
                <w:lang w:val="en-US"/>
              </w:rPr>
              <w:t>National Target 11:</w:t>
            </w:r>
            <w:r w:rsidRPr="000A0C9F">
              <w:rPr>
                <w:rFonts w:ascii="Times New Roman" w:hAnsi="Times New Roman" w:cs="Times New Roman"/>
                <w:lang w:val="en-US"/>
              </w:rPr>
              <w:t xml:space="preserve"> By 2020, at least 30% of the Amazon, 17% of each of the other terrestrial biomes, and 10% of the marine and coastal areas, especially areas of particular importance for biodiversity and ecosystem services, are conserved through protected areas foreseen under the SNUC Law and other </w:t>
            </w:r>
            <w:r w:rsidRPr="000A0C9F">
              <w:rPr>
                <w:rFonts w:ascii="Times New Roman" w:hAnsi="Times New Roman" w:cs="Times New Roman"/>
                <w:lang w:val="en-US"/>
              </w:rPr>
              <w:lastRenderedPageBreak/>
              <w:t>categories of officially protected areas such as Permanent Protection Areas, legal reserves, and indigenous lands with native vegetation, ensuring and respecting the demarcation, regularization, and effective and equitable management, so as to ensure ecological interconnection, integration and representation in broader landscapes and seascapes.</w:t>
            </w:r>
          </w:p>
        </w:tc>
        <w:tc>
          <w:tcPr>
            <w:tcW w:w="4322" w:type="dxa"/>
            <w:vAlign w:val="center"/>
          </w:tcPr>
          <w:p w:rsidR="00625722" w:rsidRDefault="00625722" w:rsidP="00290342">
            <w:pPr>
              <w:spacing w:before="120" w:after="120"/>
              <w:jc w:val="center"/>
              <w:rPr>
                <w:rFonts w:ascii="Times New Roman" w:hAnsi="Times New Roman" w:cs="Times New Roman"/>
                <w:sz w:val="24"/>
                <w:szCs w:val="24"/>
                <w:lang w:val="en-US"/>
              </w:rPr>
            </w:pPr>
            <w:r>
              <w:rPr>
                <w:noProof/>
                <w:lang w:eastAsia="pt-BR"/>
              </w:rPr>
              <w:lastRenderedPageBreak/>
              <w:drawing>
                <wp:inline distT="0" distB="0" distL="0" distR="0" wp14:anchorId="5295B9CB" wp14:editId="550571AB">
                  <wp:extent cx="405442" cy="405442"/>
                  <wp:effectExtent l="0" t="0" r="0" b="0"/>
                  <wp:docPr id="47" name="Imagem 47" descr="circulo_na_metad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circulo_na_metade.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760" cy="401760"/>
                          </a:xfrm>
                          <a:prstGeom prst="rect">
                            <a:avLst/>
                          </a:prstGeom>
                          <a:noFill/>
                          <a:ln>
                            <a:noFill/>
                          </a:ln>
                        </pic:spPr>
                      </pic:pic>
                    </a:graphicData>
                  </a:graphic>
                </wp:inline>
              </w:drawing>
            </w:r>
          </w:p>
        </w:tc>
      </w:tr>
      <w:tr w:rsidR="00625722" w:rsidRPr="00B55462" w:rsidTr="00290342">
        <w:tc>
          <w:tcPr>
            <w:tcW w:w="4322" w:type="dxa"/>
            <w:shd w:val="clear" w:color="auto" w:fill="EAF1DD" w:themeFill="accent3" w:themeFillTint="33"/>
          </w:tcPr>
          <w:p w:rsidR="00625722" w:rsidRPr="00452909" w:rsidRDefault="00625722" w:rsidP="00290342">
            <w:pPr>
              <w:spacing w:before="120" w:after="120"/>
              <w:jc w:val="both"/>
              <w:rPr>
                <w:rFonts w:ascii="Times New Roman" w:hAnsi="Times New Roman" w:cs="Times New Roman"/>
                <w:b/>
                <w:lang w:val="en-US"/>
              </w:rPr>
            </w:pPr>
            <w:r>
              <w:rPr>
                <w:rFonts w:ascii="Times New Roman" w:hAnsi="Times New Roman" w:cs="Times New Roman"/>
                <w:b/>
                <w:lang w:val="en-US"/>
              </w:rPr>
              <w:lastRenderedPageBreak/>
              <w:t xml:space="preserve">Global Aichi Target 11: </w:t>
            </w:r>
            <w:r w:rsidRPr="00F06BB1">
              <w:rPr>
                <w:rFonts w:ascii="Times New Roman" w:hAnsi="Times New Roman" w:cs="Times New Roman"/>
                <w:lang w:val="en-US"/>
              </w:rPr>
              <w:t>By 2020, at least 17 per cent of terrestrial and inland water, and 10 per cent of coastal and marine areas, especially areas of particular importance for biodiversity and ecosystem services, are conserved through effectively and equitably managed, ecologically representative and well connected systems of protected areas and other effective area-based conservation measures, and integrated into the wider landscapes and seascapes</w:t>
            </w:r>
            <w:r>
              <w:rPr>
                <w:rFonts w:ascii="Times New Roman" w:hAnsi="Times New Roman" w:cs="Times New Roman"/>
                <w:lang w:val="en-US"/>
              </w:rPr>
              <w:t>.</w:t>
            </w:r>
          </w:p>
        </w:tc>
        <w:tc>
          <w:tcPr>
            <w:tcW w:w="4322" w:type="dxa"/>
            <w:vAlign w:val="center"/>
          </w:tcPr>
          <w:p w:rsidR="00625722" w:rsidRDefault="00625722" w:rsidP="00290342">
            <w:pPr>
              <w:spacing w:before="120" w:after="120"/>
              <w:jc w:val="center"/>
              <w:rPr>
                <w:rFonts w:ascii="Times New Roman" w:hAnsi="Times New Roman" w:cs="Times New Roman"/>
                <w:sz w:val="24"/>
                <w:szCs w:val="24"/>
                <w:lang w:val="en-US"/>
              </w:rPr>
            </w:pPr>
            <w:r>
              <w:rPr>
                <w:noProof/>
                <w:lang w:eastAsia="pt-BR"/>
              </w:rPr>
              <w:drawing>
                <wp:inline distT="0" distB="0" distL="0" distR="0" wp14:anchorId="4CE68D8E" wp14:editId="43D151A9">
                  <wp:extent cx="405442" cy="405442"/>
                  <wp:effectExtent l="0" t="0" r="0" b="0"/>
                  <wp:docPr id="55" name="Imagem 55" descr="circulo_na_metad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circulo_na_metade.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760" cy="401760"/>
                          </a:xfrm>
                          <a:prstGeom prst="rect">
                            <a:avLst/>
                          </a:prstGeom>
                          <a:noFill/>
                          <a:ln>
                            <a:noFill/>
                          </a:ln>
                        </pic:spPr>
                      </pic:pic>
                    </a:graphicData>
                  </a:graphic>
                </wp:inline>
              </w:drawing>
            </w:r>
          </w:p>
        </w:tc>
      </w:tr>
    </w:tbl>
    <w:p w:rsidR="00625722" w:rsidRDefault="00625722" w:rsidP="00625722">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In 2010, the terrestrial area covered by protected areas in Brazil corresponded to 16% of the total national territory, while the total marine protected area was limited to 1.5% of the coastal and marine biome under national jurisdiction, which has not changed much in the past four years. Although the number of protected areas recorded in the National Registry of Protected Areas – CNUC (</w:t>
      </w:r>
      <w:proofErr w:type="spellStart"/>
      <w:r>
        <w:rPr>
          <w:rFonts w:ascii="Times New Roman" w:hAnsi="Times New Roman" w:cs="Times New Roman"/>
          <w:i/>
          <w:sz w:val="24"/>
          <w:szCs w:val="24"/>
          <w:lang w:val="en-US"/>
        </w:rPr>
        <w:t>Cadastro</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Nacional</w:t>
      </w:r>
      <w:proofErr w:type="spellEnd"/>
      <w:r>
        <w:rPr>
          <w:rFonts w:ascii="Times New Roman" w:hAnsi="Times New Roman" w:cs="Times New Roman"/>
          <w:i/>
          <w:sz w:val="24"/>
          <w:szCs w:val="24"/>
          <w:lang w:val="en-US"/>
        </w:rPr>
        <w:t xml:space="preserve"> de </w:t>
      </w:r>
      <w:proofErr w:type="spellStart"/>
      <w:r>
        <w:rPr>
          <w:rFonts w:ascii="Times New Roman" w:hAnsi="Times New Roman" w:cs="Times New Roman"/>
          <w:i/>
          <w:sz w:val="24"/>
          <w:szCs w:val="24"/>
          <w:lang w:val="en-US"/>
        </w:rPr>
        <w:t>Unidades</w:t>
      </w:r>
      <w:proofErr w:type="spellEnd"/>
      <w:r>
        <w:rPr>
          <w:rFonts w:ascii="Times New Roman" w:hAnsi="Times New Roman" w:cs="Times New Roman"/>
          <w:i/>
          <w:sz w:val="24"/>
          <w:szCs w:val="24"/>
          <w:lang w:val="en-US"/>
        </w:rPr>
        <w:t xml:space="preserve"> de </w:t>
      </w:r>
      <w:proofErr w:type="spellStart"/>
      <w:r>
        <w:rPr>
          <w:rFonts w:ascii="Times New Roman" w:hAnsi="Times New Roman" w:cs="Times New Roman"/>
          <w:i/>
          <w:sz w:val="24"/>
          <w:szCs w:val="24"/>
          <w:lang w:val="en-US"/>
        </w:rPr>
        <w:t>Conservação</w:t>
      </w:r>
      <w:proofErr w:type="spellEnd"/>
      <w:r>
        <w:rPr>
          <w:rFonts w:ascii="Times New Roman" w:hAnsi="Times New Roman" w:cs="Times New Roman"/>
          <w:sz w:val="24"/>
          <w:szCs w:val="24"/>
          <w:lang w:val="en-US"/>
        </w:rPr>
        <w:t>) increased from 1,724 in 2010 to 1,829 in February 2014, there was no substantial increase in the total geographical area under protection. The previous 2010 National Targets (protecting at least 30% of the Amazon and 10% of all other terrestrial biomes and coastal and marine zone) were only partially achieved, only the officially protected areas under SNUC were considered for measuring target achievement.</w:t>
      </w:r>
    </w:p>
    <w:p w:rsidR="00625722" w:rsidRDefault="00625722" w:rsidP="00625722">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The new National Target for 2020 maintained the total area under protection to be reached for the Amazon and coastal and marine zone, and increased the target for other terrestrial biomes. The criteria for measuring target achievement was also modified to include, in addition to SNUC protected areas, other legally protected areas such as permanent preservation areas, legal reserves, and indigenous lands.</w:t>
      </w:r>
    </w:p>
    <w:p w:rsidR="00625722" w:rsidRDefault="00625722" w:rsidP="00625722">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When only the protected areas under SNUC are considered, currently 26.1% of the Amazon, 7.5% of the </w:t>
      </w:r>
      <w:proofErr w:type="spellStart"/>
      <w:r>
        <w:rPr>
          <w:rFonts w:ascii="Times New Roman" w:hAnsi="Times New Roman" w:cs="Times New Roman"/>
          <w:sz w:val="24"/>
          <w:szCs w:val="24"/>
          <w:lang w:val="en-US"/>
        </w:rPr>
        <w:t>Caatinga</w:t>
      </w:r>
      <w:proofErr w:type="spellEnd"/>
      <w:r>
        <w:rPr>
          <w:rFonts w:ascii="Times New Roman" w:hAnsi="Times New Roman" w:cs="Times New Roman"/>
          <w:sz w:val="24"/>
          <w:szCs w:val="24"/>
          <w:lang w:val="en-US"/>
        </w:rPr>
        <w:t xml:space="preserve">, 8.3% of the </w:t>
      </w:r>
      <w:proofErr w:type="spellStart"/>
      <w:r>
        <w:rPr>
          <w:rFonts w:ascii="Times New Roman" w:hAnsi="Times New Roman" w:cs="Times New Roman"/>
          <w:sz w:val="24"/>
          <w:szCs w:val="24"/>
          <w:lang w:val="en-US"/>
        </w:rPr>
        <w:t>Cerrado</w:t>
      </w:r>
      <w:proofErr w:type="spellEnd"/>
      <w:r>
        <w:rPr>
          <w:rFonts w:ascii="Times New Roman" w:hAnsi="Times New Roman" w:cs="Times New Roman"/>
          <w:sz w:val="24"/>
          <w:szCs w:val="24"/>
          <w:lang w:val="en-US"/>
        </w:rPr>
        <w:t xml:space="preserve">, 9.3% of the Atlantic Forest, 2.7% of the Pampas, 4.6% of the </w:t>
      </w:r>
      <w:proofErr w:type="spellStart"/>
      <w:r>
        <w:rPr>
          <w:rFonts w:ascii="Times New Roman" w:hAnsi="Times New Roman" w:cs="Times New Roman"/>
          <w:sz w:val="24"/>
          <w:szCs w:val="24"/>
          <w:lang w:val="en-US"/>
        </w:rPr>
        <w:t>Pantanal</w:t>
      </w:r>
      <w:proofErr w:type="spellEnd"/>
      <w:r>
        <w:rPr>
          <w:rFonts w:ascii="Times New Roman" w:hAnsi="Times New Roman" w:cs="Times New Roman"/>
          <w:sz w:val="24"/>
          <w:szCs w:val="24"/>
          <w:lang w:val="en-US"/>
        </w:rPr>
        <w:t>, and 1.5% of the marine area are protected. Considering data presented in the 4</w:t>
      </w:r>
      <w:r w:rsidRPr="00F52EF4">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National Report to the CBD on protected areas, permanent protection areas and legal reserves, it is possible to infer that the new geographical percent for protection targets were already exceeded in all biomes except for the Amazon and the coastal and marine areas. However, progress to-date is still insufficient to meet the targets </w:t>
      </w:r>
      <w:r w:rsidRPr="008D2F76">
        <w:rPr>
          <w:rFonts w:ascii="Times New Roman" w:hAnsi="Times New Roman" w:cs="Times New Roman"/>
          <w:sz w:val="24"/>
          <w:szCs w:val="24"/>
          <w:lang w:val="en-US"/>
        </w:rPr>
        <w:t>for effective and equitable management, ensur</w:t>
      </w:r>
      <w:r>
        <w:rPr>
          <w:rFonts w:ascii="Times New Roman" w:hAnsi="Times New Roman" w:cs="Times New Roman"/>
          <w:sz w:val="24"/>
          <w:szCs w:val="24"/>
          <w:lang w:val="en-US"/>
        </w:rPr>
        <w:t>ing</w:t>
      </w:r>
      <w:r w:rsidRPr="008D2F76">
        <w:rPr>
          <w:rFonts w:ascii="Times New Roman" w:hAnsi="Times New Roman" w:cs="Times New Roman"/>
          <w:sz w:val="24"/>
          <w:szCs w:val="24"/>
          <w:lang w:val="en-US"/>
        </w:rPr>
        <w:t xml:space="preserve"> ecological interconnection, integration and representation in broader landscapes and seascapes</w:t>
      </w:r>
      <w:r>
        <w:rPr>
          <w:rFonts w:ascii="Times New Roman" w:hAnsi="Times New Roman" w:cs="Times New Roman"/>
          <w:sz w:val="24"/>
          <w:szCs w:val="24"/>
          <w:lang w:val="en-US"/>
        </w:rPr>
        <w:t>.</w:t>
      </w:r>
    </w:p>
    <w:p w:rsidR="00625722" w:rsidRPr="00EC2A1E" w:rsidRDefault="00625722" w:rsidP="00625722">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all biomes, except for the </w:t>
      </w:r>
      <w:proofErr w:type="spellStart"/>
      <w:r>
        <w:rPr>
          <w:rFonts w:ascii="Times New Roman" w:hAnsi="Times New Roman" w:cs="Times New Roman"/>
          <w:sz w:val="24"/>
          <w:szCs w:val="24"/>
          <w:lang w:val="en-US"/>
        </w:rPr>
        <w:t>Pantanal</w:t>
      </w:r>
      <w:proofErr w:type="spellEnd"/>
      <w:r>
        <w:rPr>
          <w:rFonts w:ascii="Times New Roman" w:hAnsi="Times New Roman" w:cs="Times New Roman"/>
          <w:sz w:val="24"/>
          <w:szCs w:val="24"/>
          <w:lang w:val="en-US"/>
        </w:rPr>
        <w:t xml:space="preserve"> and marine area, the sustainable use protected area category predominates, i.e., most of their protected areas have the objective of harmonizing nature protection with the sustainable use of part of their resources. For more details, please refer to section 1.4.2.</w:t>
      </w:r>
    </w:p>
    <w:p w:rsidR="00625722" w:rsidRDefault="00625722" w:rsidP="00625722">
      <w:pPr>
        <w:spacing w:before="120" w:after="120"/>
        <w:jc w:val="both"/>
        <w:rPr>
          <w:rFonts w:ascii="Times New Roman" w:hAnsi="Times New Roman" w:cs="Times New Roman"/>
          <w:sz w:val="24"/>
          <w:szCs w:val="24"/>
          <w:lang w:val="en-US"/>
        </w:rPr>
      </w:pPr>
    </w:p>
    <w:tbl>
      <w:tblPr>
        <w:tblStyle w:val="Tabelacomgrade"/>
        <w:tblW w:w="0" w:type="auto"/>
        <w:tblLook w:val="04A0" w:firstRow="1" w:lastRow="0" w:firstColumn="1" w:lastColumn="0" w:noHBand="0" w:noVBand="1"/>
      </w:tblPr>
      <w:tblGrid>
        <w:gridCol w:w="4322"/>
        <w:gridCol w:w="4322"/>
      </w:tblGrid>
      <w:tr w:rsidR="00625722" w:rsidTr="00290342">
        <w:tc>
          <w:tcPr>
            <w:tcW w:w="4322" w:type="dxa"/>
            <w:shd w:val="clear" w:color="auto" w:fill="C2D69B" w:themeFill="accent3" w:themeFillTint="99"/>
          </w:tcPr>
          <w:p w:rsidR="00625722" w:rsidRDefault="00625722" w:rsidP="00290342">
            <w:pPr>
              <w:spacing w:before="120" w:after="120"/>
              <w:jc w:val="both"/>
              <w:rPr>
                <w:rFonts w:ascii="Times New Roman" w:hAnsi="Times New Roman" w:cs="Times New Roman"/>
                <w:sz w:val="24"/>
                <w:szCs w:val="24"/>
                <w:lang w:val="en-US"/>
              </w:rPr>
            </w:pPr>
            <w:r w:rsidRPr="00452909">
              <w:rPr>
                <w:rFonts w:ascii="Times New Roman" w:hAnsi="Times New Roman" w:cs="Times New Roman"/>
                <w:b/>
                <w:lang w:val="en-US"/>
              </w:rPr>
              <w:t>National Target 12:</w:t>
            </w:r>
            <w:r w:rsidRPr="000A0C9F">
              <w:rPr>
                <w:rFonts w:ascii="Times New Roman" w:hAnsi="Times New Roman" w:cs="Times New Roman"/>
                <w:lang w:val="en-US"/>
              </w:rPr>
              <w:t xml:space="preserve"> By 2020, the risk of extinction of threatened species has been significantly reduced, tending to zero, and their conservation status, particularly of those most in decline, has been improved.</w:t>
            </w:r>
          </w:p>
        </w:tc>
        <w:tc>
          <w:tcPr>
            <w:tcW w:w="4322" w:type="dxa"/>
            <w:vAlign w:val="center"/>
          </w:tcPr>
          <w:p w:rsidR="00625722" w:rsidRDefault="00625722" w:rsidP="00290342">
            <w:pPr>
              <w:spacing w:before="120" w:after="120"/>
              <w:jc w:val="center"/>
              <w:rPr>
                <w:rFonts w:ascii="Times New Roman" w:hAnsi="Times New Roman" w:cs="Times New Roman"/>
                <w:sz w:val="24"/>
                <w:szCs w:val="24"/>
                <w:lang w:val="en-US"/>
              </w:rPr>
            </w:pPr>
            <w:r>
              <w:rPr>
                <w:noProof/>
                <w:sz w:val="18"/>
                <w:lang w:eastAsia="pt-BR"/>
              </w:rPr>
              <w:drawing>
                <wp:inline distT="0" distB="0" distL="0" distR="0" wp14:anchorId="50368866" wp14:editId="571BA03F">
                  <wp:extent cx="319178" cy="319178"/>
                  <wp:effectExtent l="0" t="0" r="5080" b="5080"/>
                  <wp:docPr id="56" name="Imagem 56" descr="redfourthgre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dfourthgreen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883" cy="316883"/>
                          </a:xfrm>
                          <a:prstGeom prst="rect">
                            <a:avLst/>
                          </a:prstGeom>
                          <a:noFill/>
                          <a:ln>
                            <a:noFill/>
                          </a:ln>
                        </pic:spPr>
                      </pic:pic>
                    </a:graphicData>
                  </a:graphic>
                </wp:inline>
              </w:drawing>
            </w:r>
          </w:p>
        </w:tc>
      </w:tr>
      <w:tr w:rsidR="00625722" w:rsidTr="00290342">
        <w:tc>
          <w:tcPr>
            <w:tcW w:w="4322" w:type="dxa"/>
            <w:shd w:val="clear" w:color="auto" w:fill="EAF1DD" w:themeFill="accent3" w:themeFillTint="33"/>
          </w:tcPr>
          <w:p w:rsidR="00625722" w:rsidRPr="00B724CE" w:rsidRDefault="00625722" w:rsidP="00290342">
            <w:pPr>
              <w:spacing w:before="120" w:after="120"/>
              <w:jc w:val="both"/>
              <w:rPr>
                <w:rFonts w:ascii="Times New Roman" w:hAnsi="Times New Roman" w:cs="Times New Roman"/>
                <w:lang w:val="en-US"/>
              </w:rPr>
            </w:pPr>
            <w:r>
              <w:rPr>
                <w:rFonts w:ascii="Times New Roman" w:hAnsi="Times New Roman" w:cs="Times New Roman"/>
                <w:b/>
                <w:lang w:val="en-US"/>
              </w:rPr>
              <w:t xml:space="preserve">Aichi Global Target 12: </w:t>
            </w:r>
            <w:r w:rsidRPr="00B724CE">
              <w:rPr>
                <w:rFonts w:ascii="Times New Roman" w:hAnsi="Times New Roman" w:cs="Times New Roman"/>
                <w:lang w:val="en-US"/>
              </w:rPr>
              <w:t>By 2020 the extinction of known threatened species has been prevented and their conservation status, particularly of those most in decline, has been improved and sustained.</w:t>
            </w:r>
          </w:p>
        </w:tc>
        <w:tc>
          <w:tcPr>
            <w:tcW w:w="4322" w:type="dxa"/>
            <w:vAlign w:val="center"/>
          </w:tcPr>
          <w:p w:rsidR="00625722" w:rsidRPr="00B724CE" w:rsidRDefault="00625722" w:rsidP="00290342">
            <w:pPr>
              <w:spacing w:before="120" w:after="120"/>
              <w:jc w:val="center"/>
              <w:rPr>
                <w:noProof/>
                <w:sz w:val="18"/>
                <w:lang w:val="en-US" w:eastAsia="pt-BR"/>
              </w:rPr>
            </w:pPr>
            <w:r>
              <w:rPr>
                <w:noProof/>
                <w:sz w:val="18"/>
                <w:lang w:eastAsia="pt-BR"/>
              </w:rPr>
              <w:drawing>
                <wp:inline distT="0" distB="0" distL="0" distR="0" wp14:anchorId="59DF8001" wp14:editId="6E3E8E83">
                  <wp:extent cx="319178" cy="319178"/>
                  <wp:effectExtent l="0" t="0" r="5080" b="5080"/>
                  <wp:docPr id="78" name="Imagem 78" descr="redfourthgre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dfourthgreen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883" cy="316883"/>
                          </a:xfrm>
                          <a:prstGeom prst="rect">
                            <a:avLst/>
                          </a:prstGeom>
                          <a:noFill/>
                          <a:ln>
                            <a:noFill/>
                          </a:ln>
                        </pic:spPr>
                      </pic:pic>
                    </a:graphicData>
                  </a:graphic>
                </wp:inline>
              </w:drawing>
            </w:r>
          </w:p>
        </w:tc>
      </w:tr>
    </w:tbl>
    <w:p w:rsidR="00625722" w:rsidRDefault="00625722" w:rsidP="00625722">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One important step forward towards achieving this target for threatened fauna is represented by the strategy adopted by </w:t>
      </w:r>
      <w:proofErr w:type="spellStart"/>
      <w:r>
        <w:rPr>
          <w:rFonts w:ascii="Times New Roman" w:hAnsi="Times New Roman" w:cs="Times New Roman"/>
          <w:sz w:val="24"/>
          <w:szCs w:val="24"/>
          <w:lang w:val="en-US"/>
        </w:rPr>
        <w:t>ICMBio</w:t>
      </w:r>
      <w:proofErr w:type="spellEnd"/>
      <w:r>
        <w:rPr>
          <w:rFonts w:ascii="Times New Roman" w:hAnsi="Times New Roman" w:cs="Times New Roman"/>
          <w:sz w:val="24"/>
          <w:szCs w:val="24"/>
          <w:lang w:val="en-US"/>
        </w:rPr>
        <w:t xml:space="preserve"> in the past few years to institute a conservation planning process comprised of the periodic updating of the official lists of threatened species, assessing the conservation status of all vertebrate species and selected groups of invertebrate species (focusing in indicator groups such as mollusks, crustaceans, corals, bees and butterflies), followed by the preparation of Conservation Action Plans.  </w:t>
      </w:r>
    </w:p>
    <w:p w:rsidR="00625722" w:rsidRDefault="00625722" w:rsidP="00625722">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Current data indicate that the most affected biomes are the Atlantic Forest with close to 60% of its species classified as threatened, and the </w:t>
      </w:r>
      <w:proofErr w:type="spellStart"/>
      <w:r>
        <w:rPr>
          <w:rFonts w:ascii="Times New Roman" w:hAnsi="Times New Roman" w:cs="Times New Roman"/>
          <w:sz w:val="24"/>
          <w:szCs w:val="24"/>
          <w:lang w:val="en-US"/>
        </w:rPr>
        <w:t>Cerrado</w:t>
      </w:r>
      <w:proofErr w:type="spellEnd"/>
      <w:r>
        <w:rPr>
          <w:rFonts w:ascii="Times New Roman" w:hAnsi="Times New Roman" w:cs="Times New Roman"/>
          <w:sz w:val="24"/>
          <w:szCs w:val="24"/>
          <w:lang w:val="en-US"/>
        </w:rPr>
        <w:t>, with 12% of threatened species. On the positive side, 58.8% of the 627 species listed as threatened for Brazil are present in federal protected areas. Conversely, the presence of threatened species was recorded in 242 (or 77.3%) of the 313 federal protected areas, indicating the need to integrate specific conservation actions in the protected areas’ management plans. As it is impossible to ensure that all populations and sub-populations that ensure the genetic viability of these species are safeguarded in protected areas, Conservation Action Plans address priority conservation activities for species populations both inside and outside federal, state and municipal protected areas, including private lands. By December 2013, a total of 48 Action Plans had been prepared addressing individual species or groups of species, and comprising 49% of all listed threatened species.</w:t>
      </w:r>
    </w:p>
    <w:p w:rsidR="00625722" w:rsidRDefault="00625722" w:rsidP="00625722">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Regarding plant species, the Rio de Janeiro Botanical Garden published in 2013 the Red Book on Threatened Species of the Brazilian Flora. The conservation status of 4,617 plant species was assessed, of which 2,118 (45.9%) were classified as threatened under different risk categories. For more details referring to plant and animal threatened species, please refer to see section 1.4.6.</w:t>
      </w:r>
    </w:p>
    <w:p w:rsidR="00625722" w:rsidRDefault="00625722" w:rsidP="00625722">
      <w:pPr>
        <w:spacing w:before="120" w:after="120"/>
        <w:jc w:val="both"/>
        <w:rPr>
          <w:rFonts w:ascii="Times New Roman" w:hAnsi="Times New Roman" w:cs="Times New Roman"/>
          <w:sz w:val="24"/>
          <w:szCs w:val="24"/>
          <w:lang w:val="en-US"/>
        </w:rPr>
      </w:pPr>
    </w:p>
    <w:tbl>
      <w:tblPr>
        <w:tblStyle w:val="Tabelacomgrade"/>
        <w:tblW w:w="0" w:type="auto"/>
        <w:tblLook w:val="04A0" w:firstRow="1" w:lastRow="0" w:firstColumn="1" w:lastColumn="0" w:noHBand="0" w:noVBand="1"/>
      </w:tblPr>
      <w:tblGrid>
        <w:gridCol w:w="4322"/>
        <w:gridCol w:w="4322"/>
      </w:tblGrid>
      <w:tr w:rsidR="00625722" w:rsidRPr="00AE6C33" w:rsidTr="00290342">
        <w:tc>
          <w:tcPr>
            <w:tcW w:w="4322" w:type="dxa"/>
            <w:shd w:val="clear" w:color="auto" w:fill="C2D69B" w:themeFill="accent3" w:themeFillTint="99"/>
          </w:tcPr>
          <w:p w:rsidR="00625722" w:rsidRDefault="00625722" w:rsidP="00290342">
            <w:pPr>
              <w:spacing w:before="120" w:after="120"/>
              <w:jc w:val="both"/>
              <w:rPr>
                <w:rFonts w:ascii="Times New Roman" w:hAnsi="Times New Roman" w:cs="Times New Roman"/>
                <w:sz w:val="24"/>
                <w:szCs w:val="24"/>
                <w:lang w:val="en-US"/>
              </w:rPr>
            </w:pPr>
            <w:r w:rsidRPr="00452909">
              <w:rPr>
                <w:rFonts w:ascii="Times New Roman" w:hAnsi="Times New Roman" w:cs="Times New Roman"/>
                <w:b/>
                <w:lang w:val="en-US"/>
              </w:rPr>
              <w:t>National Target 13:</w:t>
            </w:r>
            <w:r w:rsidRPr="000A0C9F">
              <w:rPr>
                <w:rFonts w:ascii="Times New Roman" w:hAnsi="Times New Roman" w:cs="Times New Roman"/>
                <w:lang w:val="en-US"/>
              </w:rPr>
              <w:t xml:space="preserve"> By 2020, the genetic diversity of microorganisms, cultivated plants, farmed and domesticated animals and of wild relatives, including socio-economically as well as culturally valuable species, is maintained, and strategies have been developed and implemented for minimizing the loss of genetic diversity.</w:t>
            </w:r>
          </w:p>
        </w:tc>
        <w:tc>
          <w:tcPr>
            <w:tcW w:w="4322" w:type="dxa"/>
            <w:vAlign w:val="center"/>
          </w:tcPr>
          <w:p w:rsidR="00625722" w:rsidRDefault="00625722" w:rsidP="00290342">
            <w:pPr>
              <w:spacing w:before="120" w:after="120"/>
              <w:jc w:val="center"/>
              <w:rPr>
                <w:rFonts w:ascii="Times New Roman" w:hAnsi="Times New Roman" w:cs="Times New Roman"/>
                <w:sz w:val="24"/>
                <w:szCs w:val="24"/>
                <w:lang w:val="en-US"/>
              </w:rPr>
            </w:pPr>
            <w:r>
              <w:rPr>
                <w:noProof/>
                <w:lang w:eastAsia="pt-BR"/>
              </w:rPr>
              <w:drawing>
                <wp:inline distT="0" distB="0" distL="0" distR="0" wp14:anchorId="70EE23DC" wp14:editId="7AE29AE4">
                  <wp:extent cx="405517" cy="405517"/>
                  <wp:effectExtent l="0" t="0" r="0" b="0"/>
                  <wp:docPr id="57" name="Imagem 57" descr="circulo_na_metad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circulo_na_metade.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4812" cy="404812"/>
                          </a:xfrm>
                          <a:prstGeom prst="rect">
                            <a:avLst/>
                          </a:prstGeom>
                          <a:noFill/>
                          <a:ln>
                            <a:noFill/>
                          </a:ln>
                        </pic:spPr>
                      </pic:pic>
                    </a:graphicData>
                  </a:graphic>
                </wp:inline>
              </w:drawing>
            </w:r>
          </w:p>
        </w:tc>
      </w:tr>
      <w:tr w:rsidR="00625722" w:rsidRPr="00AE6C33" w:rsidTr="00290342">
        <w:tc>
          <w:tcPr>
            <w:tcW w:w="4322" w:type="dxa"/>
            <w:shd w:val="clear" w:color="auto" w:fill="EAF1DD" w:themeFill="accent3" w:themeFillTint="33"/>
          </w:tcPr>
          <w:p w:rsidR="00625722" w:rsidRPr="00F06BB1" w:rsidRDefault="00625722" w:rsidP="00290342">
            <w:pPr>
              <w:spacing w:before="120" w:after="120"/>
              <w:jc w:val="both"/>
              <w:rPr>
                <w:rFonts w:ascii="Times New Roman" w:hAnsi="Times New Roman" w:cs="Times New Roman"/>
                <w:b/>
                <w:lang w:val="en-US"/>
              </w:rPr>
            </w:pPr>
            <w:r>
              <w:rPr>
                <w:rFonts w:ascii="Times New Roman" w:hAnsi="Times New Roman" w:cs="Times New Roman"/>
                <w:b/>
                <w:lang w:val="en-US"/>
              </w:rPr>
              <w:lastRenderedPageBreak/>
              <w:t xml:space="preserve">Global Aichi Target 13: </w:t>
            </w:r>
            <w:r w:rsidRPr="00F06BB1">
              <w:rPr>
                <w:rFonts w:ascii="Times New Roman" w:hAnsi="Times New Roman" w:cs="Times New Roman"/>
                <w:lang w:val="en-US"/>
              </w:rPr>
              <w:t>By 2020, the genetic diversity of cultivated plants and farmed and domesticated animals and of wild relatives, including other socio-economically as well as culturally valuable species, is maintained, and strategies have been developed and implemented for minimizing genetic erosion and safeguarding their genetic diversity</w:t>
            </w:r>
            <w:r>
              <w:rPr>
                <w:rFonts w:ascii="Times New Roman" w:hAnsi="Times New Roman" w:cs="Times New Roman"/>
                <w:lang w:val="en-US"/>
              </w:rPr>
              <w:t>.</w:t>
            </w:r>
          </w:p>
        </w:tc>
        <w:tc>
          <w:tcPr>
            <w:tcW w:w="4322" w:type="dxa"/>
            <w:vAlign w:val="center"/>
          </w:tcPr>
          <w:p w:rsidR="00625722" w:rsidRPr="00B724CE" w:rsidRDefault="00625722" w:rsidP="00290342">
            <w:pPr>
              <w:spacing w:before="120" w:after="120"/>
              <w:jc w:val="center"/>
              <w:rPr>
                <w:noProof/>
                <w:sz w:val="18"/>
                <w:lang w:val="en-US" w:eastAsia="pt-BR"/>
              </w:rPr>
            </w:pPr>
            <w:r>
              <w:rPr>
                <w:noProof/>
                <w:lang w:eastAsia="pt-BR"/>
              </w:rPr>
              <w:drawing>
                <wp:inline distT="0" distB="0" distL="0" distR="0" wp14:anchorId="625D134A" wp14:editId="27B9DE78">
                  <wp:extent cx="405517" cy="405517"/>
                  <wp:effectExtent l="0" t="0" r="0" b="0"/>
                  <wp:docPr id="58" name="Imagem 58" descr="circulo_na_metad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circulo_na_metade.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4812" cy="404812"/>
                          </a:xfrm>
                          <a:prstGeom prst="rect">
                            <a:avLst/>
                          </a:prstGeom>
                          <a:noFill/>
                          <a:ln>
                            <a:noFill/>
                          </a:ln>
                        </pic:spPr>
                      </pic:pic>
                    </a:graphicData>
                  </a:graphic>
                </wp:inline>
              </w:drawing>
            </w:r>
          </w:p>
        </w:tc>
      </w:tr>
    </w:tbl>
    <w:p w:rsidR="00625722" w:rsidRDefault="00625722" w:rsidP="00625722">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EMBRAPA/CENARGEN continuously develops several research and </w:t>
      </w:r>
      <w:r w:rsidRPr="00BD3283">
        <w:rPr>
          <w:rFonts w:ascii="Times New Roman" w:hAnsi="Times New Roman" w:cs="Times New Roman"/>
          <w:i/>
          <w:sz w:val="24"/>
          <w:szCs w:val="24"/>
          <w:lang w:val="en-US"/>
        </w:rPr>
        <w:t>ex situ</w:t>
      </w:r>
      <w:r>
        <w:rPr>
          <w:rFonts w:ascii="Times New Roman" w:hAnsi="Times New Roman" w:cs="Times New Roman"/>
          <w:sz w:val="24"/>
          <w:szCs w:val="24"/>
          <w:lang w:val="en-US"/>
        </w:rPr>
        <w:t xml:space="preserve"> conservation activities targeted at native Brazilian species of actual or potential use, and maintains a national collection of genetic samples. </w:t>
      </w:r>
      <w:r w:rsidRPr="000D7996">
        <w:rPr>
          <w:rFonts w:ascii="Times New Roman" w:hAnsi="Times New Roman" w:cs="Times New Roman"/>
          <w:sz w:val="24"/>
          <w:szCs w:val="24"/>
          <w:lang w:val="en-US"/>
        </w:rPr>
        <w:t xml:space="preserve">The Germplasm-Seed Bank was created in 1976 </w:t>
      </w:r>
      <w:r>
        <w:rPr>
          <w:rFonts w:ascii="Times New Roman" w:hAnsi="Times New Roman" w:cs="Times New Roman"/>
          <w:sz w:val="24"/>
          <w:szCs w:val="24"/>
          <w:lang w:val="en-US"/>
        </w:rPr>
        <w:t xml:space="preserve">to safeguard the seeds of economically relevant species, protecting the genetic resources that support nutrition and agriculture. Current capacity of the seed bank is 250,000 accesses and to-date its cold chambers house over 107,000 accesses of 661 species, subspecies and races. To enhance its capacity for the conservation of genetic resources, CENARGEN inaugurated in 2014 the third largest gene bank of the world, with capacity to store some 750,000 seed samples, in addition to 10,000 </w:t>
      </w:r>
      <w:r w:rsidRPr="007C6F09">
        <w:rPr>
          <w:rFonts w:ascii="Times New Roman" w:hAnsi="Times New Roman" w:cs="Times New Roman"/>
          <w:i/>
          <w:sz w:val="24"/>
          <w:szCs w:val="24"/>
          <w:lang w:val="en-US"/>
        </w:rPr>
        <w:t>in vitro</w:t>
      </w:r>
      <w:r>
        <w:rPr>
          <w:rFonts w:ascii="Times New Roman" w:hAnsi="Times New Roman" w:cs="Times New Roman"/>
          <w:sz w:val="24"/>
          <w:szCs w:val="24"/>
          <w:lang w:val="en-US"/>
        </w:rPr>
        <w:t xml:space="preserve"> plant samples, and over 200,000 other cryopreserved samples of plants, animals or microorganisms. Total capacity of the new gene bank, built within the EMBRAPA campus in Brasília, is over 1,000,000 samples under different preservation methods. Additionally, in 11 February 2014, </w:t>
      </w:r>
      <w:proofErr w:type="spellStart"/>
      <w:r>
        <w:rPr>
          <w:rFonts w:ascii="Times New Roman" w:hAnsi="Times New Roman" w:cs="Times New Roman"/>
          <w:sz w:val="24"/>
          <w:szCs w:val="24"/>
          <w:lang w:val="en-US"/>
        </w:rPr>
        <w:t>Embrapa</w:t>
      </w:r>
      <w:proofErr w:type="spellEnd"/>
      <w:r>
        <w:rPr>
          <w:rFonts w:ascii="Times New Roman" w:hAnsi="Times New Roman" w:cs="Times New Roman"/>
          <w:sz w:val="24"/>
          <w:szCs w:val="24"/>
          <w:lang w:val="en-US"/>
        </w:rPr>
        <w:t xml:space="preserve"> shipped 514 accesses of beans (</w:t>
      </w:r>
      <w:proofErr w:type="spellStart"/>
      <w:r>
        <w:rPr>
          <w:rFonts w:ascii="Times New Roman" w:hAnsi="Times New Roman" w:cs="Times New Roman"/>
          <w:i/>
          <w:sz w:val="24"/>
          <w:szCs w:val="24"/>
          <w:lang w:val="en-US"/>
        </w:rPr>
        <w:t>Phaseolus</w:t>
      </w:r>
      <w:proofErr w:type="spellEnd"/>
      <w:r>
        <w:rPr>
          <w:rFonts w:ascii="Times New Roman" w:hAnsi="Times New Roman" w:cs="Times New Roman"/>
          <w:i/>
          <w:sz w:val="24"/>
          <w:szCs w:val="24"/>
          <w:lang w:val="en-US"/>
        </w:rPr>
        <w:t xml:space="preserve"> vulgaris</w:t>
      </w:r>
      <w:r>
        <w:rPr>
          <w:rFonts w:ascii="Times New Roman" w:hAnsi="Times New Roman" w:cs="Times New Roman"/>
          <w:sz w:val="24"/>
          <w:szCs w:val="24"/>
          <w:lang w:val="en-US"/>
        </w:rPr>
        <w:t xml:space="preserve">) to the Global Seed Vault - GSV in Svalbard, located in the town of </w:t>
      </w:r>
      <w:proofErr w:type="spellStart"/>
      <w:r>
        <w:rPr>
          <w:rFonts w:ascii="Times New Roman" w:hAnsi="Times New Roman" w:cs="Times New Roman"/>
          <w:sz w:val="24"/>
          <w:szCs w:val="24"/>
          <w:lang w:val="en-US"/>
        </w:rPr>
        <w:t>Longyearbyen</w:t>
      </w:r>
      <w:proofErr w:type="spellEnd"/>
      <w:r>
        <w:rPr>
          <w:rFonts w:ascii="Times New Roman" w:hAnsi="Times New Roman" w:cs="Times New Roman"/>
          <w:sz w:val="24"/>
          <w:szCs w:val="24"/>
          <w:lang w:val="en-US"/>
        </w:rPr>
        <w:t xml:space="preserve">. Those seeds are part of </w:t>
      </w:r>
      <w:proofErr w:type="spellStart"/>
      <w:r>
        <w:rPr>
          <w:rFonts w:ascii="Times New Roman" w:hAnsi="Times New Roman" w:cs="Times New Roman"/>
          <w:sz w:val="24"/>
          <w:szCs w:val="24"/>
          <w:lang w:val="en-US"/>
        </w:rPr>
        <w:t>Embrapa’s</w:t>
      </w:r>
      <w:proofErr w:type="spellEnd"/>
      <w:r>
        <w:rPr>
          <w:rFonts w:ascii="Times New Roman" w:hAnsi="Times New Roman" w:cs="Times New Roman"/>
          <w:sz w:val="24"/>
          <w:szCs w:val="24"/>
          <w:lang w:val="en-US"/>
        </w:rPr>
        <w:t xml:space="preserve"> Nuclear Bean Collection, and will join other 264 corn accesses and 541 rice accesses that were shipped to GSV in September 2012.</w:t>
      </w:r>
    </w:p>
    <w:p w:rsidR="00625722" w:rsidRDefault="00625722" w:rsidP="00625722">
      <w:pPr>
        <w:spacing w:before="120" w:after="120"/>
        <w:jc w:val="both"/>
        <w:rPr>
          <w:rFonts w:ascii="Times New Roman" w:hAnsi="Times New Roman" w:cs="Times New Roman"/>
          <w:sz w:val="24"/>
          <w:szCs w:val="24"/>
          <w:lang w:val="en-US"/>
        </w:rPr>
      </w:pPr>
      <w:r w:rsidRPr="007E1875">
        <w:rPr>
          <w:rFonts w:ascii="Times New Roman" w:hAnsi="Times New Roman" w:cs="Times New Roman"/>
          <w:sz w:val="24"/>
          <w:szCs w:val="24"/>
          <w:lang w:val="en-US"/>
        </w:rPr>
        <w:t xml:space="preserve">Research projects carried out also include </w:t>
      </w:r>
      <w:r>
        <w:rPr>
          <w:rFonts w:ascii="Times New Roman" w:hAnsi="Times New Roman" w:cs="Times New Roman"/>
          <w:sz w:val="24"/>
          <w:szCs w:val="24"/>
          <w:lang w:val="en-US"/>
        </w:rPr>
        <w:t>an</w:t>
      </w:r>
      <w:r w:rsidRPr="007E1875">
        <w:rPr>
          <w:rFonts w:ascii="Times New Roman" w:hAnsi="Times New Roman" w:cs="Times New Roman"/>
          <w:sz w:val="24"/>
          <w:szCs w:val="24"/>
          <w:lang w:val="en-US"/>
        </w:rPr>
        <w:t xml:space="preserve"> initiative</w:t>
      </w:r>
      <w:r>
        <w:rPr>
          <w:rFonts w:ascii="Times New Roman" w:hAnsi="Times New Roman" w:cs="Times New Roman"/>
          <w:sz w:val="24"/>
          <w:szCs w:val="24"/>
          <w:lang w:val="en-US"/>
        </w:rPr>
        <w:t xml:space="preserve"> (on-going since 1997) to collect samples of animal and plant species traditionally maintained by indigenous groups of the </w:t>
      </w:r>
      <w:proofErr w:type="spellStart"/>
      <w:r>
        <w:rPr>
          <w:rFonts w:ascii="Times New Roman" w:hAnsi="Times New Roman" w:cs="Times New Roman"/>
          <w:sz w:val="24"/>
          <w:szCs w:val="24"/>
          <w:lang w:val="en-US"/>
        </w:rPr>
        <w:t>Parque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Indígena</w:t>
      </w:r>
      <w:proofErr w:type="spellEnd"/>
      <w:r>
        <w:rPr>
          <w:rFonts w:ascii="Times New Roman" w:hAnsi="Times New Roman" w:cs="Times New Roman"/>
          <w:sz w:val="24"/>
          <w:szCs w:val="24"/>
          <w:lang w:val="en-US"/>
        </w:rPr>
        <w:t xml:space="preserve"> do Xingu, in the state of </w:t>
      </w:r>
      <w:proofErr w:type="spellStart"/>
      <w:r>
        <w:rPr>
          <w:rFonts w:ascii="Times New Roman" w:hAnsi="Times New Roman" w:cs="Times New Roman"/>
          <w:sz w:val="24"/>
          <w:szCs w:val="24"/>
          <w:lang w:val="en-US"/>
        </w:rPr>
        <w:t>Mato</w:t>
      </w:r>
      <w:proofErr w:type="spellEnd"/>
      <w:r>
        <w:rPr>
          <w:rFonts w:ascii="Times New Roman" w:hAnsi="Times New Roman" w:cs="Times New Roman"/>
          <w:sz w:val="24"/>
          <w:szCs w:val="24"/>
          <w:lang w:val="en-US"/>
        </w:rPr>
        <w:t xml:space="preserve"> Grosso, to compare them with the diversity of other samples of the same species or groups. The initiative also studies the traditional methods for species management used by those indigenous groups and in what ways these methods interfere in the dynamics of species evolution and genetic diversity. Additionally, the risks of diversity loss for species managed by those indigenous groups are also identified, as well as the causes leading to risk. </w:t>
      </w:r>
      <w:r w:rsidRPr="00701BB2">
        <w:rPr>
          <w:rFonts w:ascii="Times New Roman" w:hAnsi="Times New Roman" w:cs="Times New Roman"/>
          <w:i/>
          <w:sz w:val="24"/>
          <w:szCs w:val="24"/>
          <w:lang w:val="en-US"/>
        </w:rPr>
        <w:t>Ex situ</w:t>
      </w:r>
      <w:r>
        <w:rPr>
          <w:rFonts w:ascii="Times New Roman" w:hAnsi="Times New Roman" w:cs="Times New Roman"/>
          <w:sz w:val="24"/>
          <w:szCs w:val="24"/>
          <w:lang w:val="en-US"/>
        </w:rPr>
        <w:t xml:space="preserve"> collections of the studied species are also maintained by CENARGEN as a prevention measure</w:t>
      </w:r>
      <w:r w:rsidRPr="001318C6">
        <w:rPr>
          <w:rFonts w:ascii="Times New Roman" w:hAnsi="Times New Roman" w:cs="Times New Roman"/>
          <w:sz w:val="24"/>
          <w:szCs w:val="24"/>
          <w:lang w:val="en-US"/>
        </w:rPr>
        <w:t xml:space="preserve"> </w:t>
      </w:r>
      <w:r>
        <w:rPr>
          <w:rFonts w:ascii="Times New Roman" w:hAnsi="Times New Roman" w:cs="Times New Roman"/>
          <w:sz w:val="24"/>
          <w:szCs w:val="24"/>
          <w:lang w:val="en-US"/>
        </w:rPr>
        <w:t>against diversity loss. Regarding rural producers, an assessment was carried to identify how existing legislation is impacting on the conservation of local products, given that the implementation of public policies has been leading to a decrease in the seed/species exchange networks among rural producers.</w:t>
      </w:r>
      <w:r w:rsidRPr="008A536E">
        <w:rPr>
          <w:rFonts w:ascii="Times New Roman" w:hAnsi="Times New Roman" w:cs="Times New Roman"/>
          <w:iCs/>
          <w:sz w:val="24"/>
          <w:szCs w:val="24"/>
          <w:lang w:val="en-US"/>
        </w:rPr>
        <w:t xml:space="preserve"> </w:t>
      </w:r>
      <w:r>
        <w:rPr>
          <w:rFonts w:ascii="Times New Roman" w:hAnsi="Times New Roman" w:cs="Times New Roman"/>
          <w:iCs/>
          <w:sz w:val="24"/>
          <w:szCs w:val="24"/>
          <w:lang w:val="en-US"/>
        </w:rPr>
        <w:t xml:space="preserve">CENARGEN implements efficient </w:t>
      </w:r>
      <w:r w:rsidRPr="00487A7A">
        <w:rPr>
          <w:rFonts w:ascii="Times New Roman" w:hAnsi="Times New Roman" w:cs="Times New Roman"/>
          <w:i/>
          <w:iCs/>
          <w:sz w:val="24"/>
          <w:szCs w:val="24"/>
          <w:lang w:val="en-US"/>
        </w:rPr>
        <w:t>ex-situ</w:t>
      </w:r>
      <w:r>
        <w:rPr>
          <w:rFonts w:ascii="Times New Roman" w:hAnsi="Times New Roman" w:cs="Times New Roman"/>
          <w:iCs/>
          <w:sz w:val="24"/>
          <w:szCs w:val="24"/>
          <w:lang w:val="en-US"/>
        </w:rPr>
        <w:t xml:space="preserve"> and on-farm conservation of various native species of actual or potential value through cultivation, in vitro reproduction, or cryogenic preservation of viable seeds. For additional information, please refer to sections </w:t>
      </w:r>
      <w:r>
        <w:rPr>
          <w:rFonts w:ascii="Times New Roman" w:hAnsi="Times New Roman" w:cs="Times New Roman"/>
          <w:sz w:val="24"/>
          <w:szCs w:val="24"/>
          <w:lang w:val="en-US"/>
        </w:rPr>
        <w:t>1.2.3.1 and 1.2.3.4.</w:t>
      </w:r>
    </w:p>
    <w:p w:rsidR="00625722" w:rsidRDefault="00625722" w:rsidP="00625722">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Two other important inter-related initiatives to promote biodiversity conservation and sustainable use are the Biodiversity for Food and Nutrition (BFN) and the Plants for the Future project, this latter carried out from 2005 – 2007 by MMA. The wealth of information generated by Plants for the Future on over 750 species from the five Brazilian regions (north, northeast, center-west, southeast, and south) has been undergoing revision for the past several years and serves as input to actions under the BFN project. The first volume of results from Plants for the Future for the South Region </w:t>
      </w:r>
      <w:r>
        <w:rPr>
          <w:rFonts w:ascii="Times New Roman" w:hAnsi="Times New Roman" w:cs="Times New Roman"/>
          <w:sz w:val="24"/>
          <w:szCs w:val="24"/>
          <w:lang w:val="en-US"/>
        </w:rPr>
        <w:lastRenderedPageBreak/>
        <w:t xml:space="preserve">was published in 2011. A similar volume on the Central-West Region is being finalized for publication in 2014, and the preparation of the volume for the North region is well advanced. For more details, please refer to section 1.2.3.2. </w:t>
      </w:r>
    </w:p>
    <w:p w:rsidR="00625722" w:rsidRDefault="00625722" w:rsidP="00625722">
      <w:pPr>
        <w:spacing w:before="120" w:after="120"/>
        <w:jc w:val="both"/>
        <w:rPr>
          <w:rFonts w:ascii="Times New Roman" w:hAnsi="Times New Roman" w:cs="Times New Roman"/>
          <w:sz w:val="24"/>
          <w:szCs w:val="24"/>
          <w:lang w:val="en-US"/>
        </w:rPr>
      </w:pPr>
    </w:p>
    <w:tbl>
      <w:tblPr>
        <w:tblStyle w:val="Tabelacomgrade"/>
        <w:tblW w:w="0" w:type="auto"/>
        <w:tblLook w:val="04A0" w:firstRow="1" w:lastRow="0" w:firstColumn="1" w:lastColumn="0" w:noHBand="0" w:noVBand="1"/>
      </w:tblPr>
      <w:tblGrid>
        <w:gridCol w:w="4322"/>
        <w:gridCol w:w="4322"/>
      </w:tblGrid>
      <w:tr w:rsidR="00625722" w:rsidRPr="00AE6C33" w:rsidTr="00290342">
        <w:tc>
          <w:tcPr>
            <w:tcW w:w="4322" w:type="dxa"/>
            <w:shd w:val="clear" w:color="auto" w:fill="C2D69B" w:themeFill="accent3" w:themeFillTint="99"/>
          </w:tcPr>
          <w:p w:rsidR="00625722" w:rsidRDefault="00625722" w:rsidP="00290342">
            <w:pPr>
              <w:spacing w:before="120" w:after="120"/>
              <w:jc w:val="both"/>
              <w:rPr>
                <w:rFonts w:ascii="Times New Roman" w:hAnsi="Times New Roman" w:cs="Times New Roman"/>
                <w:sz w:val="24"/>
                <w:szCs w:val="24"/>
                <w:lang w:val="en-US"/>
              </w:rPr>
            </w:pPr>
            <w:r w:rsidRPr="00452909">
              <w:rPr>
                <w:rFonts w:ascii="Times New Roman" w:hAnsi="Times New Roman" w:cs="Times New Roman"/>
                <w:b/>
                <w:lang w:val="en-US"/>
              </w:rPr>
              <w:t>National Target 14:</w:t>
            </w:r>
            <w:r w:rsidRPr="000A0C9F">
              <w:rPr>
                <w:rFonts w:ascii="Times New Roman" w:hAnsi="Times New Roman" w:cs="Times New Roman"/>
                <w:lang w:val="en-US"/>
              </w:rPr>
              <w:t xml:space="preserve"> By 2020, ecosystems that provide essential services, including services related to water, and contribute to health, livelihoods and well-being, are restored and safeguarded, taking into account the needs of women, traditional peoples and communities, indigenous peoples and local communities, and the poor and vulnerable.</w:t>
            </w:r>
          </w:p>
        </w:tc>
        <w:tc>
          <w:tcPr>
            <w:tcW w:w="4322" w:type="dxa"/>
            <w:vAlign w:val="center"/>
          </w:tcPr>
          <w:p w:rsidR="00625722" w:rsidRDefault="00625722" w:rsidP="00290342">
            <w:pPr>
              <w:spacing w:before="120" w:after="120"/>
              <w:jc w:val="center"/>
              <w:rPr>
                <w:rFonts w:ascii="Times New Roman" w:hAnsi="Times New Roman" w:cs="Times New Roman"/>
                <w:sz w:val="24"/>
                <w:szCs w:val="24"/>
                <w:lang w:val="en-US"/>
              </w:rPr>
            </w:pPr>
            <w:r>
              <w:rPr>
                <w:noProof/>
                <w:lang w:eastAsia="pt-BR"/>
              </w:rPr>
              <w:drawing>
                <wp:inline distT="0" distB="0" distL="0" distR="0" wp14:anchorId="20985A3E" wp14:editId="0FCABC4A">
                  <wp:extent cx="405517" cy="405517"/>
                  <wp:effectExtent l="0" t="0" r="0" b="0"/>
                  <wp:docPr id="59" name="Imagem 59" descr="circulo_na_metad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circulo_na_metade.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4812" cy="404812"/>
                          </a:xfrm>
                          <a:prstGeom prst="rect">
                            <a:avLst/>
                          </a:prstGeom>
                          <a:noFill/>
                          <a:ln>
                            <a:noFill/>
                          </a:ln>
                        </pic:spPr>
                      </pic:pic>
                    </a:graphicData>
                  </a:graphic>
                </wp:inline>
              </w:drawing>
            </w:r>
          </w:p>
        </w:tc>
      </w:tr>
      <w:tr w:rsidR="00625722" w:rsidRPr="00AE6C33" w:rsidTr="00290342">
        <w:tc>
          <w:tcPr>
            <w:tcW w:w="4322" w:type="dxa"/>
            <w:shd w:val="clear" w:color="auto" w:fill="EAF1DD" w:themeFill="accent3" w:themeFillTint="33"/>
          </w:tcPr>
          <w:p w:rsidR="00625722" w:rsidRPr="00B724CE" w:rsidRDefault="00625722" w:rsidP="00290342">
            <w:pPr>
              <w:spacing w:before="120" w:after="120"/>
              <w:jc w:val="both"/>
              <w:rPr>
                <w:rFonts w:ascii="Times New Roman" w:hAnsi="Times New Roman" w:cs="Times New Roman"/>
                <w:lang w:val="en-US"/>
              </w:rPr>
            </w:pPr>
            <w:r>
              <w:rPr>
                <w:rFonts w:ascii="Times New Roman" w:hAnsi="Times New Roman" w:cs="Times New Roman"/>
                <w:b/>
                <w:lang w:val="en-US"/>
              </w:rPr>
              <w:t xml:space="preserve">Aichi Global Target 14: </w:t>
            </w:r>
            <w:r w:rsidRPr="00566155">
              <w:rPr>
                <w:rFonts w:ascii="Times New Roman" w:hAnsi="Times New Roman" w:cs="Times New Roman"/>
                <w:lang w:val="en-US"/>
              </w:rPr>
              <w:t>By 2020, ecosystems that provide essential services, including services related to water, and contribute to health, livelihoods and well-being, are restored and safeguarded, taking into account the needs of women, indigenous and local communities, and the poor and vulnerable</w:t>
            </w:r>
            <w:r>
              <w:rPr>
                <w:rFonts w:ascii="Times New Roman" w:hAnsi="Times New Roman" w:cs="Times New Roman"/>
                <w:lang w:val="en-US"/>
              </w:rPr>
              <w:t>.</w:t>
            </w:r>
          </w:p>
        </w:tc>
        <w:tc>
          <w:tcPr>
            <w:tcW w:w="4322" w:type="dxa"/>
            <w:vAlign w:val="center"/>
          </w:tcPr>
          <w:p w:rsidR="00625722" w:rsidRPr="00B724CE" w:rsidRDefault="00625722" w:rsidP="00290342">
            <w:pPr>
              <w:spacing w:before="120" w:after="120"/>
              <w:jc w:val="center"/>
              <w:rPr>
                <w:noProof/>
                <w:sz w:val="18"/>
                <w:lang w:val="en-US" w:eastAsia="pt-BR"/>
              </w:rPr>
            </w:pPr>
            <w:r>
              <w:rPr>
                <w:noProof/>
                <w:lang w:eastAsia="pt-BR"/>
              </w:rPr>
              <w:drawing>
                <wp:inline distT="0" distB="0" distL="0" distR="0" wp14:anchorId="6FA62C76" wp14:editId="550492F1">
                  <wp:extent cx="405517" cy="405517"/>
                  <wp:effectExtent l="0" t="0" r="0" b="0"/>
                  <wp:docPr id="73" name="Imagem 73" descr="circulo_na_metad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circulo_na_metade.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4812" cy="404812"/>
                          </a:xfrm>
                          <a:prstGeom prst="rect">
                            <a:avLst/>
                          </a:prstGeom>
                          <a:noFill/>
                          <a:ln>
                            <a:noFill/>
                          </a:ln>
                        </pic:spPr>
                      </pic:pic>
                    </a:graphicData>
                  </a:graphic>
                </wp:inline>
              </w:drawing>
            </w:r>
          </w:p>
        </w:tc>
      </w:tr>
    </w:tbl>
    <w:p w:rsidR="00625722" w:rsidRDefault="00625722" w:rsidP="00625722">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Some of the most important ecosystems in terms of provision of essential services listed in this target are located in the Permanent Preservation Areas (APPs), which are mostly located along water bodies, sharp slopes and hilltops. A large deficit of compliance with legal conservation requirements had already been accumulated before changes introduced by the new Law 12.651/2012 that replaced the previous Forest Code (see section 1.4.1) significantly reduced the total area previously protected under Legal Reserves and APPs by adjusting their definition and forgiving a sizeable portion of the previous “environmental debt” of small rural properties (which comprise roughly 90% of all rural properties).</w:t>
      </w:r>
      <w:r w:rsidRPr="00B22EB6">
        <w:rPr>
          <w:rFonts w:ascii="Times New Roman" w:hAnsi="Times New Roman" w:cs="Times New Roman"/>
          <w:sz w:val="24"/>
          <w:szCs w:val="24"/>
          <w:lang w:val="en-US"/>
        </w:rPr>
        <w:t xml:space="preserve"> </w:t>
      </w:r>
      <w:r>
        <w:rPr>
          <w:rFonts w:ascii="Times New Roman" w:hAnsi="Times New Roman" w:cs="Times New Roman"/>
          <w:sz w:val="24"/>
          <w:szCs w:val="24"/>
          <w:lang w:val="en-US"/>
        </w:rPr>
        <w:t>The approved changes for the definition of hilltop permanent preservation areas alone, for example, reduced their total area by 87%, and the new definition for Legal Reserve together with the differentiation between conservation and restoration requirements reduced by 58% (from approximately 50 million hectares to 21 million hectares) the total area that would have required restoration at the landowner’s expenses under previous legislation.</w:t>
      </w:r>
      <w:r w:rsidRPr="00B22EB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Furthermore, the legislation allows an additional 88 million hectares of legal deforestation of native vegetation on private properties, which exceed conservation requirements. This opens up the possibility of significant loss of natural habitats and biodiversity that may occur in compliance with legislation, although some instruments included in the revised Forest Code may contribute to maintain part of this area covered with natural vegetation, such as the Rural Environmental Cadaster – CAR and the Environmental Reserve Quota – </w:t>
      </w:r>
      <w:r w:rsidRPr="0002150F">
        <w:rPr>
          <w:rFonts w:ascii="Times New Roman" w:hAnsi="Times New Roman" w:cs="Times New Roman"/>
          <w:sz w:val="24"/>
          <w:szCs w:val="24"/>
          <w:lang w:val="en-US"/>
        </w:rPr>
        <w:t>CRA</w:t>
      </w:r>
      <w:r>
        <w:rPr>
          <w:rFonts w:ascii="Times New Roman" w:hAnsi="Times New Roman" w:cs="Times New Roman"/>
          <w:sz w:val="24"/>
          <w:szCs w:val="24"/>
          <w:lang w:val="en-US"/>
        </w:rPr>
        <w:t xml:space="preserve"> (see sections 1.3.1 and 1.4.1). Nevertheless, the Ministry of Agriculture Livestock and Supply estimates that the national production of grains alone should grow from the 184 million tons produced in 2012/2013 to 222 million tons in 2022/2023, which would be achieved through a combination of conversion of new areas for agriculture and productivity increase</w:t>
      </w:r>
      <w:r>
        <w:rPr>
          <w:rStyle w:val="Refdenotaderodap"/>
          <w:rFonts w:ascii="Times New Roman" w:hAnsi="Times New Roman" w:cs="Times New Roman"/>
          <w:szCs w:val="24"/>
          <w:lang w:val="en-US"/>
        </w:rPr>
        <w:footnoteReference w:id="15"/>
      </w:r>
      <w:r>
        <w:rPr>
          <w:rFonts w:ascii="Times New Roman" w:hAnsi="Times New Roman" w:cs="Times New Roman"/>
          <w:sz w:val="24"/>
          <w:szCs w:val="24"/>
          <w:lang w:val="en-US"/>
        </w:rPr>
        <w:t>.</w:t>
      </w:r>
    </w:p>
    <w:p w:rsidR="00625722" w:rsidRDefault="00625722" w:rsidP="00625722">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Governmental programs and initiatives for the payment of ecosystem services also contribute to the conservation of forests and sensitive habitats, although their growing adoption at the sub-national levels is still limited. For example, the Water Producer Program (</w:t>
      </w:r>
      <w:proofErr w:type="spellStart"/>
      <w:r>
        <w:rPr>
          <w:rFonts w:ascii="Times New Roman" w:hAnsi="Times New Roman" w:cs="Times New Roman"/>
          <w:i/>
          <w:sz w:val="24"/>
          <w:szCs w:val="24"/>
          <w:lang w:val="en-US"/>
        </w:rPr>
        <w:t>Programa</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Produtor</w:t>
      </w:r>
      <w:proofErr w:type="spellEnd"/>
      <w:r>
        <w:rPr>
          <w:rFonts w:ascii="Times New Roman" w:hAnsi="Times New Roman" w:cs="Times New Roman"/>
          <w:i/>
          <w:sz w:val="24"/>
          <w:szCs w:val="24"/>
          <w:lang w:val="en-US"/>
        </w:rPr>
        <w:t xml:space="preserve"> de </w:t>
      </w:r>
      <w:proofErr w:type="spellStart"/>
      <w:r>
        <w:rPr>
          <w:rFonts w:ascii="Times New Roman" w:hAnsi="Times New Roman" w:cs="Times New Roman"/>
          <w:i/>
          <w:sz w:val="24"/>
          <w:szCs w:val="24"/>
          <w:lang w:val="en-US"/>
        </w:rPr>
        <w:t>Água</w:t>
      </w:r>
      <w:proofErr w:type="spellEnd"/>
      <w:r>
        <w:rPr>
          <w:rFonts w:ascii="Times New Roman" w:hAnsi="Times New Roman" w:cs="Times New Roman"/>
          <w:sz w:val="24"/>
          <w:szCs w:val="24"/>
          <w:lang w:val="en-US"/>
        </w:rPr>
        <w:t>) coordinated by the National Water Agency – ANA is an important tool to promote the conservation of native vegetation in water recharge areas, while the Green Grant and Forest Grant programs (see section 1.2.1.2) provide direct incentives to communities for the conservation of forests.</w:t>
      </w:r>
    </w:p>
    <w:p w:rsidR="00625722" w:rsidRDefault="00625722" w:rsidP="00625722">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Several recent policies and projects seek to promote the sustainable use of biodiversity by traditional peoples and communities, thus contributing to support the conservation of standing forests from which non-timber products are extracted. Such policies also often provide incentives for the adoption of more sustainable agricultural practices such as agroecology and organic production, which support the maintenance of APPs. Some examples are: the National Plan to Promote the Production Lines of Products from Socio-biodiversity – PNPSB; Food Acquisition Program – PAA; National School Nutrition Program – PNAE; National Policy on Food and Nutrition – PNAN; National Agroecology and Organic Production Plan – PLANAPO; Minimum Price Policy for </w:t>
      </w:r>
      <w:proofErr w:type="spellStart"/>
      <w:r>
        <w:rPr>
          <w:rFonts w:ascii="Times New Roman" w:hAnsi="Times New Roman" w:cs="Times New Roman"/>
          <w:sz w:val="24"/>
          <w:szCs w:val="24"/>
          <w:lang w:val="en-US"/>
        </w:rPr>
        <w:t>Sociobiodiversity</w:t>
      </w:r>
      <w:proofErr w:type="spellEnd"/>
      <w:r>
        <w:rPr>
          <w:rFonts w:ascii="Times New Roman" w:hAnsi="Times New Roman" w:cs="Times New Roman"/>
          <w:sz w:val="24"/>
          <w:szCs w:val="24"/>
          <w:lang w:val="en-US"/>
        </w:rPr>
        <w:t xml:space="preserve">-based Products – </w:t>
      </w:r>
      <w:proofErr w:type="spellStart"/>
      <w:r>
        <w:rPr>
          <w:rFonts w:ascii="Times New Roman" w:hAnsi="Times New Roman" w:cs="Times New Roman"/>
          <w:sz w:val="24"/>
          <w:szCs w:val="24"/>
          <w:lang w:val="en-US"/>
        </w:rPr>
        <w:t>PGPMBio</w:t>
      </w:r>
      <w:proofErr w:type="spellEnd"/>
      <w:r>
        <w:rPr>
          <w:rFonts w:ascii="Times New Roman" w:hAnsi="Times New Roman" w:cs="Times New Roman"/>
          <w:sz w:val="24"/>
          <w:szCs w:val="24"/>
          <w:lang w:val="en-US"/>
        </w:rPr>
        <w:t>;</w:t>
      </w:r>
      <w:r w:rsidRPr="00027666">
        <w:rPr>
          <w:rFonts w:ascii="Times New Roman" w:hAnsi="Times New Roman" w:cs="Times New Roman"/>
          <w:sz w:val="24"/>
          <w:szCs w:val="24"/>
          <w:lang w:val="en-US"/>
        </w:rPr>
        <w:t xml:space="preserve"> </w:t>
      </w:r>
      <w:r>
        <w:rPr>
          <w:rFonts w:ascii="Times New Roman" w:hAnsi="Times New Roman" w:cs="Times New Roman"/>
          <w:sz w:val="24"/>
          <w:szCs w:val="24"/>
          <w:lang w:val="en-US"/>
        </w:rPr>
        <w:t>and the National Policy on Environmental and Territorial Management of Indigenous Lands – PNGATTI. The Plants for the Future and Biodiversity for Food and Nutrition projects, for example, also seek to conserve and promote the sustainable use of native foods and wild relatives of cultivated crops. For more details, please see sections 1.2.1.2, 1.2.3, and 1.2.4.2.</w:t>
      </w:r>
    </w:p>
    <w:p w:rsidR="00625722" w:rsidRDefault="00625722" w:rsidP="00625722">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Other initiatives and programs for the restoration of native vegetation and to reduce deforestation also contribute to this target, such as the Pact for the Restoration of the Atlantic Forest, the federal initiative for vegetation restoration currently under preparation, </w:t>
      </w:r>
      <w:proofErr w:type="spellStart"/>
      <w:r>
        <w:rPr>
          <w:rFonts w:ascii="Times New Roman" w:hAnsi="Times New Roman" w:cs="Times New Roman"/>
          <w:sz w:val="24"/>
          <w:szCs w:val="24"/>
          <w:lang w:val="en-US"/>
        </w:rPr>
        <w:t>PPCDAm</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PPCerrado</w:t>
      </w:r>
      <w:proofErr w:type="spellEnd"/>
      <w:r>
        <w:rPr>
          <w:rFonts w:ascii="Times New Roman" w:hAnsi="Times New Roman" w:cs="Times New Roman"/>
          <w:sz w:val="24"/>
          <w:szCs w:val="24"/>
          <w:lang w:val="en-US"/>
        </w:rPr>
        <w:t xml:space="preserve"> (1.4.3.1).</w:t>
      </w:r>
    </w:p>
    <w:p w:rsidR="00625722" w:rsidRDefault="00625722" w:rsidP="00625722">
      <w:pPr>
        <w:spacing w:before="120" w:after="120"/>
        <w:jc w:val="both"/>
        <w:rPr>
          <w:rFonts w:ascii="Times New Roman" w:hAnsi="Times New Roman" w:cs="Times New Roman"/>
          <w:sz w:val="24"/>
          <w:szCs w:val="24"/>
          <w:lang w:val="en-US"/>
        </w:rPr>
      </w:pPr>
    </w:p>
    <w:tbl>
      <w:tblPr>
        <w:tblStyle w:val="Tabelacomgrade"/>
        <w:tblW w:w="0" w:type="auto"/>
        <w:tblLook w:val="04A0" w:firstRow="1" w:lastRow="0" w:firstColumn="1" w:lastColumn="0" w:noHBand="0" w:noVBand="1"/>
      </w:tblPr>
      <w:tblGrid>
        <w:gridCol w:w="4322"/>
        <w:gridCol w:w="4322"/>
      </w:tblGrid>
      <w:tr w:rsidR="00625722" w:rsidRPr="00AE6C33" w:rsidTr="00290342">
        <w:tc>
          <w:tcPr>
            <w:tcW w:w="4322" w:type="dxa"/>
            <w:shd w:val="clear" w:color="auto" w:fill="C2D69B" w:themeFill="accent3" w:themeFillTint="99"/>
          </w:tcPr>
          <w:p w:rsidR="00625722" w:rsidRDefault="00625722" w:rsidP="00290342">
            <w:pPr>
              <w:spacing w:before="120" w:after="120"/>
              <w:jc w:val="both"/>
              <w:rPr>
                <w:rFonts w:ascii="Times New Roman" w:hAnsi="Times New Roman" w:cs="Times New Roman"/>
                <w:sz w:val="24"/>
                <w:szCs w:val="24"/>
                <w:lang w:val="en-US"/>
              </w:rPr>
            </w:pPr>
            <w:r w:rsidRPr="00452909">
              <w:rPr>
                <w:rFonts w:ascii="Times New Roman" w:hAnsi="Times New Roman" w:cs="Times New Roman"/>
                <w:b/>
                <w:lang w:val="en-US"/>
              </w:rPr>
              <w:t xml:space="preserve">National Target 15: </w:t>
            </w:r>
            <w:r w:rsidRPr="000A0C9F">
              <w:rPr>
                <w:rFonts w:ascii="Times New Roman" w:hAnsi="Times New Roman" w:cs="Times New Roman"/>
                <w:lang w:val="en-US"/>
              </w:rPr>
              <w:t>By 2020, ecosystem resilience and the contribution of biodiversity to carbon stocks has been enhanced through conservation and restoration actions, including restoration of at least 15% of degraded ecosystems, prioritizing the most degraded biomes, hydrographic regions and ecoregions, thereby contributing to climate change mitigation and adaptation and to combatting desertification.</w:t>
            </w:r>
          </w:p>
        </w:tc>
        <w:tc>
          <w:tcPr>
            <w:tcW w:w="4322" w:type="dxa"/>
            <w:vAlign w:val="center"/>
          </w:tcPr>
          <w:p w:rsidR="00625722" w:rsidRDefault="00625722" w:rsidP="00290342">
            <w:pPr>
              <w:spacing w:before="120" w:after="120"/>
              <w:jc w:val="center"/>
              <w:rPr>
                <w:rFonts w:ascii="Times New Roman" w:hAnsi="Times New Roman" w:cs="Times New Roman"/>
                <w:sz w:val="24"/>
                <w:szCs w:val="24"/>
                <w:lang w:val="en-US"/>
              </w:rPr>
            </w:pPr>
            <w:r>
              <w:rPr>
                <w:noProof/>
                <w:sz w:val="18"/>
                <w:lang w:eastAsia="pt-BR"/>
              </w:rPr>
              <w:drawing>
                <wp:inline distT="0" distB="0" distL="0" distR="0" wp14:anchorId="5978D342" wp14:editId="0B4D784D">
                  <wp:extent cx="405517" cy="405517"/>
                  <wp:effectExtent l="0" t="0" r="0" b="0"/>
                  <wp:docPr id="75" name="Imagem 75" descr="redfourthgre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dfourthgreen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5586" cy="405586"/>
                          </a:xfrm>
                          <a:prstGeom prst="rect">
                            <a:avLst/>
                          </a:prstGeom>
                          <a:noFill/>
                          <a:ln>
                            <a:noFill/>
                          </a:ln>
                        </pic:spPr>
                      </pic:pic>
                    </a:graphicData>
                  </a:graphic>
                </wp:inline>
              </w:drawing>
            </w:r>
          </w:p>
        </w:tc>
      </w:tr>
      <w:tr w:rsidR="00625722" w:rsidRPr="00AE6C33" w:rsidTr="00290342">
        <w:tc>
          <w:tcPr>
            <w:tcW w:w="4322" w:type="dxa"/>
            <w:shd w:val="clear" w:color="auto" w:fill="EAF1DD" w:themeFill="accent3" w:themeFillTint="33"/>
          </w:tcPr>
          <w:p w:rsidR="00625722" w:rsidRPr="00B724CE" w:rsidRDefault="00625722" w:rsidP="00290342">
            <w:pPr>
              <w:spacing w:before="120" w:after="120"/>
              <w:jc w:val="both"/>
              <w:rPr>
                <w:rFonts w:ascii="Times New Roman" w:hAnsi="Times New Roman" w:cs="Times New Roman"/>
                <w:lang w:val="en-US"/>
              </w:rPr>
            </w:pPr>
            <w:r>
              <w:rPr>
                <w:rFonts w:ascii="Times New Roman" w:hAnsi="Times New Roman" w:cs="Times New Roman"/>
                <w:b/>
                <w:lang w:val="en-US"/>
              </w:rPr>
              <w:t xml:space="preserve">Aichi Global Target 15: </w:t>
            </w:r>
            <w:r w:rsidRPr="00027666">
              <w:rPr>
                <w:rFonts w:ascii="Times New Roman" w:hAnsi="Times New Roman" w:cs="Times New Roman"/>
                <w:lang w:val="en-US"/>
              </w:rPr>
              <w:t>By 2020, ecosystem resilience and the contribution of biodiversity to carbon stocks has been enhanced, through conservation and restoration, including restoration of at least 15 per cent of degraded ecosystems, thereby contributing to climate change mitigation and adaptation and to combating desertification</w:t>
            </w:r>
            <w:r>
              <w:rPr>
                <w:rFonts w:ascii="Times New Roman" w:hAnsi="Times New Roman" w:cs="Times New Roman"/>
                <w:lang w:val="en-US"/>
              </w:rPr>
              <w:t>.</w:t>
            </w:r>
          </w:p>
        </w:tc>
        <w:tc>
          <w:tcPr>
            <w:tcW w:w="4322" w:type="dxa"/>
            <w:vAlign w:val="center"/>
          </w:tcPr>
          <w:p w:rsidR="00625722" w:rsidRPr="00B724CE" w:rsidRDefault="00625722" w:rsidP="00290342">
            <w:pPr>
              <w:spacing w:before="120" w:after="120"/>
              <w:jc w:val="center"/>
              <w:rPr>
                <w:noProof/>
                <w:sz w:val="18"/>
                <w:lang w:val="en-US" w:eastAsia="pt-BR"/>
              </w:rPr>
            </w:pPr>
            <w:r>
              <w:rPr>
                <w:noProof/>
                <w:sz w:val="18"/>
                <w:lang w:eastAsia="pt-BR"/>
              </w:rPr>
              <w:drawing>
                <wp:inline distT="0" distB="0" distL="0" distR="0" wp14:anchorId="360CD5F9" wp14:editId="25798D8C">
                  <wp:extent cx="405517" cy="405517"/>
                  <wp:effectExtent l="0" t="0" r="0" b="0"/>
                  <wp:docPr id="79" name="Imagem 79" descr="redfourthgre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dfourthgreen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5586" cy="405586"/>
                          </a:xfrm>
                          <a:prstGeom prst="rect">
                            <a:avLst/>
                          </a:prstGeom>
                          <a:noFill/>
                          <a:ln>
                            <a:noFill/>
                          </a:ln>
                        </pic:spPr>
                      </pic:pic>
                    </a:graphicData>
                  </a:graphic>
                </wp:inline>
              </w:drawing>
            </w:r>
          </w:p>
        </w:tc>
      </w:tr>
    </w:tbl>
    <w:p w:rsidR="00625722" w:rsidRDefault="00625722" w:rsidP="00625722">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 important step forward for the achievement of this Target, and which is still under preparation, is the development of a proposed large scale native vegetation restoration strategy which seeks to strengthen and draw from the existing public policies, incentives, practices and other tools necessary to recover native vegetation. The initial </w:t>
      </w:r>
      <w:r>
        <w:rPr>
          <w:rFonts w:ascii="Times New Roman" w:hAnsi="Times New Roman" w:cs="Times New Roman"/>
          <w:sz w:val="24"/>
          <w:szCs w:val="24"/>
          <w:lang w:val="en-US"/>
        </w:rPr>
        <w:lastRenderedPageBreak/>
        <w:t>target would be to recover deforested Permanent Preservation Areas (APPs) and Legal Reserves (RL), as well as degraded lands or areas of low agricultural productivity (see section 1.4.3.1). This strategy would complement the ongoing Action Plans to Combat Desertification which are being implemented in the Amazon (</w:t>
      </w:r>
      <w:proofErr w:type="spellStart"/>
      <w:r>
        <w:rPr>
          <w:rFonts w:ascii="Times New Roman" w:hAnsi="Times New Roman" w:cs="Times New Roman"/>
          <w:sz w:val="24"/>
          <w:szCs w:val="24"/>
          <w:lang w:val="en-US"/>
        </w:rPr>
        <w:t>PPCDAm</w:t>
      </w:r>
      <w:proofErr w:type="spellEnd"/>
      <w:r>
        <w:rPr>
          <w:rFonts w:ascii="Times New Roman" w:hAnsi="Times New Roman" w:cs="Times New Roman"/>
          <w:sz w:val="24"/>
          <w:szCs w:val="24"/>
          <w:lang w:val="en-US"/>
        </w:rPr>
        <w:t xml:space="preserve">) and the </w:t>
      </w:r>
      <w:proofErr w:type="spellStart"/>
      <w:r>
        <w:rPr>
          <w:rFonts w:ascii="Times New Roman" w:hAnsi="Times New Roman" w:cs="Times New Roman"/>
          <w:sz w:val="24"/>
          <w:szCs w:val="24"/>
          <w:lang w:val="en-US"/>
        </w:rPr>
        <w:t>Cerrado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PPCerrado</w:t>
      </w:r>
      <w:proofErr w:type="spellEnd"/>
      <w:r>
        <w:rPr>
          <w:rFonts w:ascii="Times New Roman" w:hAnsi="Times New Roman" w:cs="Times New Roman"/>
          <w:sz w:val="24"/>
          <w:szCs w:val="24"/>
          <w:lang w:val="en-US"/>
        </w:rPr>
        <w:t>) – the two biomes currently most affected by deforestation (see section 1.4.3.2).</w:t>
      </w:r>
    </w:p>
    <w:p w:rsidR="00625722" w:rsidRDefault="00625722" w:rsidP="00625722">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Pr="00B10CB2">
        <w:rPr>
          <w:rFonts w:ascii="Times New Roman" w:hAnsi="Times New Roman" w:cs="Times New Roman"/>
          <w:sz w:val="24"/>
          <w:szCs w:val="24"/>
          <w:lang w:val="en-US"/>
        </w:rPr>
        <w:t>Watershed Revitalization Program</w:t>
      </w:r>
      <w:r>
        <w:rPr>
          <w:rFonts w:ascii="Times New Roman" w:hAnsi="Times New Roman" w:cs="Times New Roman"/>
          <w:sz w:val="24"/>
          <w:szCs w:val="24"/>
          <w:lang w:val="en-US"/>
        </w:rPr>
        <w:t xml:space="preserve"> currently implements activities in the watersheds of the São Francisco, Tocantins-Araguaia, </w:t>
      </w:r>
      <w:proofErr w:type="spellStart"/>
      <w:r>
        <w:rPr>
          <w:rFonts w:ascii="Times New Roman" w:hAnsi="Times New Roman" w:cs="Times New Roman"/>
          <w:sz w:val="24"/>
          <w:szCs w:val="24"/>
          <w:lang w:val="en-US"/>
        </w:rPr>
        <w:t>Paraíba</w:t>
      </w:r>
      <w:proofErr w:type="spellEnd"/>
      <w:r>
        <w:rPr>
          <w:rFonts w:ascii="Times New Roman" w:hAnsi="Times New Roman" w:cs="Times New Roman"/>
          <w:sz w:val="24"/>
          <w:szCs w:val="24"/>
          <w:lang w:val="en-US"/>
        </w:rPr>
        <w:t xml:space="preserve"> do </w:t>
      </w:r>
      <w:proofErr w:type="spellStart"/>
      <w:r>
        <w:rPr>
          <w:rFonts w:ascii="Times New Roman" w:hAnsi="Times New Roman" w:cs="Times New Roman"/>
          <w:sz w:val="24"/>
          <w:szCs w:val="24"/>
          <w:lang w:val="en-US"/>
        </w:rPr>
        <w:t>Sul</w:t>
      </w:r>
      <w:proofErr w:type="spellEnd"/>
      <w:r>
        <w:rPr>
          <w:rFonts w:ascii="Times New Roman" w:hAnsi="Times New Roman" w:cs="Times New Roman"/>
          <w:sz w:val="24"/>
          <w:szCs w:val="24"/>
          <w:lang w:val="en-US"/>
        </w:rPr>
        <w:t xml:space="preserve">, and upper </w:t>
      </w:r>
      <w:proofErr w:type="spellStart"/>
      <w:r>
        <w:rPr>
          <w:rFonts w:ascii="Times New Roman" w:hAnsi="Times New Roman" w:cs="Times New Roman"/>
          <w:sz w:val="24"/>
          <w:szCs w:val="24"/>
          <w:lang w:val="en-US"/>
        </w:rPr>
        <w:t>Paraguai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Pantanal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rivers.Actions</w:t>
      </w:r>
      <w:proofErr w:type="spellEnd"/>
      <w:r>
        <w:rPr>
          <w:rFonts w:ascii="Times New Roman" w:hAnsi="Times New Roman" w:cs="Times New Roman"/>
          <w:sz w:val="24"/>
          <w:szCs w:val="24"/>
          <w:lang w:val="en-US"/>
        </w:rPr>
        <w:t xml:space="preserve"> supported in 2014 include: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support to the implementation of models for the restoration of degraded areas, seed conservation and seedling production, and capacity building and mobilization of communities for vegetation restoration and biodiversity conservation; (ii) integrated and preventive enforcement operations; and (iii) expansion of sanitation investments (water sanitation and distribution systems and sewage collection and treatment systems) at river side communities, as well as establishment of inter-municipal consortia for solid waste management (see section 1.4.3.1).</w:t>
      </w:r>
    </w:p>
    <w:p w:rsidR="00625722" w:rsidRDefault="00625722" w:rsidP="00625722">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Additionally, the multi-sectoral Pact for the Restoration of the Atlantic Forest, launched in 2009, is a collective effort for the large scale restoration of the Atlantic Forest, involving the participation of non-governmental organizations, governmental agencies at the three administrative levels, rural land owners, traditional communities, cooperatives and associations. The target established for the Pact is to restore 15 million hectares of forest by 2050, increasing the vegetation cover of the Atlantic Forest to over 30% of the original biome (see section 1.4.3.1).</w:t>
      </w:r>
    </w:p>
    <w:p w:rsidR="00625722" w:rsidRPr="000A326A" w:rsidRDefault="00625722" w:rsidP="00625722">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Low Carbon Agriculture project (ABC) launched in 2010 as part of the Brazilian commitments to reduce carbon emissions in agriculture provides incentives for the adoption of more sustainable and low emission practices by agriculture and livestock producers, </w:t>
      </w:r>
      <w:r w:rsidRPr="000A326A">
        <w:rPr>
          <w:rFonts w:ascii="Times New Roman" w:hAnsi="Times New Roman" w:cs="Times New Roman"/>
          <w:sz w:val="24"/>
          <w:szCs w:val="24"/>
          <w:lang w:val="en-US"/>
        </w:rPr>
        <w:t>such as recovery of degraded pasture land</w:t>
      </w:r>
      <w:r>
        <w:rPr>
          <w:rFonts w:ascii="Times New Roman" w:hAnsi="Times New Roman" w:cs="Times New Roman"/>
          <w:sz w:val="24"/>
          <w:szCs w:val="24"/>
          <w:lang w:val="en-US"/>
        </w:rPr>
        <w:t xml:space="preserve"> and</w:t>
      </w:r>
      <w:r w:rsidRPr="000A326A">
        <w:rPr>
          <w:rFonts w:ascii="Times New Roman" w:hAnsi="Times New Roman" w:cs="Times New Roman"/>
          <w:sz w:val="24"/>
          <w:szCs w:val="24"/>
          <w:lang w:val="en-US"/>
        </w:rPr>
        <w:t xml:space="preserve"> crop, livestock</w:t>
      </w:r>
      <w:r>
        <w:rPr>
          <w:rFonts w:ascii="Times New Roman" w:hAnsi="Times New Roman" w:cs="Times New Roman"/>
          <w:sz w:val="24"/>
          <w:szCs w:val="24"/>
          <w:lang w:val="en-US"/>
        </w:rPr>
        <w:t xml:space="preserve"> and</w:t>
      </w:r>
      <w:r w:rsidRPr="000A326A">
        <w:rPr>
          <w:rFonts w:ascii="Times New Roman" w:hAnsi="Times New Roman" w:cs="Times New Roman"/>
          <w:sz w:val="24"/>
          <w:szCs w:val="24"/>
          <w:lang w:val="en-US"/>
        </w:rPr>
        <w:t xml:space="preserve"> forestry integrated systems</w:t>
      </w:r>
      <w:r>
        <w:rPr>
          <w:rFonts w:ascii="Times New Roman" w:hAnsi="Times New Roman" w:cs="Times New Roman"/>
          <w:sz w:val="24"/>
          <w:szCs w:val="24"/>
          <w:lang w:val="en-US"/>
        </w:rPr>
        <w:t>, among others. Although the program is appealing as a tool to overcome barriers for the adoption of sustainable practices by producers, the project is still struggling to increase the low rate of adhesion to-date, due mainly to technical difficulties to access the ABC credit lines.</w:t>
      </w:r>
      <w:r>
        <w:rPr>
          <w:rStyle w:val="Refdenotaderodap"/>
          <w:rFonts w:ascii="Times New Roman" w:hAnsi="Times New Roman" w:cs="Times New Roman"/>
          <w:szCs w:val="24"/>
          <w:lang w:val="en-US"/>
        </w:rPr>
        <w:footnoteReference w:id="16"/>
      </w:r>
    </w:p>
    <w:p w:rsidR="00625722" w:rsidRDefault="00625722" w:rsidP="00625722">
      <w:pPr>
        <w:spacing w:before="120" w:after="120"/>
        <w:jc w:val="both"/>
        <w:rPr>
          <w:rFonts w:ascii="Times New Roman" w:hAnsi="Times New Roman" w:cs="Times New Roman"/>
          <w:sz w:val="24"/>
          <w:szCs w:val="24"/>
          <w:lang w:val="en-US"/>
        </w:rPr>
      </w:pPr>
    </w:p>
    <w:tbl>
      <w:tblPr>
        <w:tblStyle w:val="Tabelacomgrade"/>
        <w:tblW w:w="0" w:type="auto"/>
        <w:tblLook w:val="04A0" w:firstRow="1" w:lastRow="0" w:firstColumn="1" w:lastColumn="0" w:noHBand="0" w:noVBand="1"/>
      </w:tblPr>
      <w:tblGrid>
        <w:gridCol w:w="4322"/>
        <w:gridCol w:w="4322"/>
      </w:tblGrid>
      <w:tr w:rsidR="00625722" w:rsidRPr="00AE6C33" w:rsidTr="00290342">
        <w:tc>
          <w:tcPr>
            <w:tcW w:w="4322" w:type="dxa"/>
            <w:shd w:val="clear" w:color="auto" w:fill="C2D69B" w:themeFill="accent3" w:themeFillTint="99"/>
          </w:tcPr>
          <w:p w:rsidR="00625722" w:rsidRDefault="00625722" w:rsidP="00290342">
            <w:pPr>
              <w:spacing w:before="120" w:after="120"/>
              <w:jc w:val="both"/>
              <w:rPr>
                <w:rFonts w:ascii="Times New Roman" w:hAnsi="Times New Roman" w:cs="Times New Roman"/>
                <w:sz w:val="24"/>
                <w:szCs w:val="24"/>
                <w:lang w:val="en-US"/>
              </w:rPr>
            </w:pPr>
            <w:r w:rsidRPr="00452909">
              <w:rPr>
                <w:rFonts w:ascii="Times New Roman" w:hAnsi="Times New Roman" w:cs="Times New Roman"/>
                <w:b/>
                <w:lang w:val="en-US"/>
              </w:rPr>
              <w:t>National Target 16:</w:t>
            </w:r>
            <w:r w:rsidRPr="000A0C9F">
              <w:rPr>
                <w:rFonts w:ascii="Times New Roman" w:hAnsi="Times New Roman" w:cs="Times New Roman"/>
                <w:lang w:val="en-US"/>
              </w:rPr>
              <w:t xml:space="preserve"> By 2015, the Nagoya Protocol on Access to Genetic Resources and the Fair and Equitable Sharing of Benefits Arising from their Utilization is in force and operational, consistent with national legislation.</w:t>
            </w:r>
          </w:p>
        </w:tc>
        <w:tc>
          <w:tcPr>
            <w:tcW w:w="4322" w:type="dxa"/>
            <w:vAlign w:val="center"/>
          </w:tcPr>
          <w:p w:rsidR="00625722" w:rsidRDefault="00625722" w:rsidP="00290342">
            <w:pPr>
              <w:spacing w:before="120" w:after="120"/>
              <w:jc w:val="center"/>
              <w:rPr>
                <w:rFonts w:ascii="Times New Roman" w:hAnsi="Times New Roman" w:cs="Times New Roman"/>
                <w:sz w:val="24"/>
                <w:szCs w:val="24"/>
                <w:lang w:val="en-US"/>
              </w:rPr>
            </w:pPr>
            <w:r>
              <w:rPr>
                <w:noProof/>
                <w:sz w:val="18"/>
                <w:lang w:eastAsia="pt-BR"/>
              </w:rPr>
              <w:drawing>
                <wp:inline distT="0" distB="0" distL="0" distR="0" wp14:anchorId="4337F067" wp14:editId="540E7044">
                  <wp:extent cx="405517" cy="405517"/>
                  <wp:effectExtent l="0" t="0" r="0" b="0"/>
                  <wp:docPr id="82" name="Imagem 82" descr="r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d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5666" cy="405666"/>
                          </a:xfrm>
                          <a:prstGeom prst="rect">
                            <a:avLst/>
                          </a:prstGeom>
                          <a:noFill/>
                          <a:ln>
                            <a:noFill/>
                          </a:ln>
                        </pic:spPr>
                      </pic:pic>
                    </a:graphicData>
                  </a:graphic>
                </wp:inline>
              </w:drawing>
            </w:r>
          </w:p>
        </w:tc>
      </w:tr>
      <w:tr w:rsidR="00625722" w:rsidRPr="00AE6C33" w:rsidTr="00290342">
        <w:tc>
          <w:tcPr>
            <w:tcW w:w="4322" w:type="dxa"/>
            <w:shd w:val="clear" w:color="auto" w:fill="EAF1DD" w:themeFill="accent3" w:themeFillTint="33"/>
          </w:tcPr>
          <w:p w:rsidR="00625722" w:rsidRPr="00B724CE" w:rsidRDefault="00625722" w:rsidP="00290342">
            <w:pPr>
              <w:spacing w:before="120" w:after="120"/>
              <w:jc w:val="both"/>
              <w:rPr>
                <w:rFonts w:ascii="Times New Roman" w:hAnsi="Times New Roman" w:cs="Times New Roman"/>
                <w:lang w:val="en-US"/>
              </w:rPr>
            </w:pPr>
            <w:r>
              <w:rPr>
                <w:rFonts w:ascii="Times New Roman" w:hAnsi="Times New Roman" w:cs="Times New Roman"/>
                <w:b/>
                <w:lang w:val="en-US"/>
              </w:rPr>
              <w:t xml:space="preserve">Aichi Global Target 16: </w:t>
            </w:r>
            <w:r w:rsidRPr="00FF44B3">
              <w:rPr>
                <w:rFonts w:ascii="Times New Roman" w:hAnsi="Times New Roman" w:cs="Times New Roman"/>
                <w:lang w:val="en-US"/>
              </w:rPr>
              <w:t>By 2015, the Nagoya Protocol on Access to Genetic Resources and the Fair and Equitable Sharing of Benefits Arising from their Utilization is in force and operational, consistent with national legislation</w:t>
            </w:r>
            <w:r>
              <w:rPr>
                <w:rFonts w:ascii="Times New Roman" w:hAnsi="Times New Roman" w:cs="Times New Roman"/>
                <w:lang w:val="en-US"/>
              </w:rPr>
              <w:t>.</w:t>
            </w:r>
          </w:p>
        </w:tc>
        <w:tc>
          <w:tcPr>
            <w:tcW w:w="4322" w:type="dxa"/>
            <w:vAlign w:val="center"/>
          </w:tcPr>
          <w:p w:rsidR="00625722" w:rsidRPr="00B724CE" w:rsidRDefault="00625722" w:rsidP="00290342">
            <w:pPr>
              <w:spacing w:before="120" w:after="120"/>
              <w:jc w:val="center"/>
              <w:rPr>
                <w:noProof/>
                <w:sz w:val="18"/>
                <w:lang w:val="en-US" w:eastAsia="pt-BR"/>
              </w:rPr>
            </w:pPr>
            <w:r>
              <w:rPr>
                <w:noProof/>
                <w:sz w:val="18"/>
                <w:lang w:eastAsia="pt-BR"/>
              </w:rPr>
              <w:drawing>
                <wp:inline distT="0" distB="0" distL="0" distR="0" wp14:anchorId="48F5BA2B" wp14:editId="15F3D8D1">
                  <wp:extent cx="405517" cy="405517"/>
                  <wp:effectExtent l="0" t="0" r="0" b="0"/>
                  <wp:docPr id="83" name="Imagem 83" descr="r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d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5666" cy="405666"/>
                          </a:xfrm>
                          <a:prstGeom prst="rect">
                            <a:avLst/>
                          </a:prstGeom>
                          <a:noFill/>
                          <a:ln>
                            <a:noFill/>
                          </a:ln>
                        </pic:spPr>
                      </pic:pic>
                    </a:graphicData>
                  </a:graphic>
                </wp:inline>
              </w:drawing>
            </w:r>
          </w:p>
        </w:tc>
      </w:tr>
    </w:tbl>
    <w:p w:rsidR="00625722" w:rsidRDefault="00625722" w:rsidP="00625722">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In 05 June 2012, President </w:t>
      </w:r>
      <w:proofErr w:type="spellStart"/>
      <w:r>
        <w:rPr>
          <w:rFonts w:ascii="Times New Roman" w:hAnsi="Times New Roman" w:cs="Times New Roman"/>
          <w:sz w:val="24"/>
          <w:szCs w:val="24"/>
          <w:lang w:val="en-US"/>
        </w:rPr>
        <w:t>Dilma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Rousseff</w:t>
      </w:r>
      <w:proofErr w:type="spellEnd"/>
      <w:r>
        <w:rPr>
          <w:rFonts w:ascii="Times New Roman" w:hAnsi="Times New Roman" w:cs="Times New Roman"/>
          <w:sz w:val="24"/>
          <w:szCs w:val="24"/>
          <w:lang w:val="en-US"/>
        </w:rPr>
        <w:t xml:space="preserve"> signed a request to Congress for the ratification of the 2010 Nagoya Protocol on Access to Genetic Resources and the Fair and Equitable Sharing of Benefits Arising from their Utilization, together with a request to Congress to approve Brazil’s adhesion to the 1980 Bonn Convention on the Conservation of Migratory Species of Wild Animals. The request is still being analyzed.</w:t>
      </w:r>
    </w:p>
    <w:p w:rsidR="00625722" w:rsidRDefault="00625722" w:rsidP="00625722">
      <w:pPr>
        <w:spacing w:before="120" w:after="120"/>
        <w:jc w:val="both"/>
        <w:rPr>
          <w:rFonts w:ascii="Times New Roman" w:hAnsi="Times New Roman" w:cs="Times New Roman"/>
          <w:sz w:val="24"/>
          <w:szCs w:val="24"/>
          <w:lang w:val="en-US"/>
        </w:rPr>
      </w:pPr>
    </w:p>
    <w:tbl>
      <w:tblPr>
        <w:tblStyle w:val="Tabelacomgrade"/>
        <w:tblW w:w="0" w:type="auto"/>
        <w:tblLook w:val="04A0" w:firstRow="1" w:lastRow="0" w:firstColumn="1" w:lastColumn="0" w:noHBand="0" w:noVBand="1"/>
      </w:tblPr>
      <w:tblGrid>
        <w:gridCol w:w="4322"/>
        <w:gridCol w:w="4322"/>
      </w:tblGrid>
      <w:tr w:rsidR="00625722" w:rsidRPr="00AE6C33" w:rsidTr="00290342">
        <w:tc>
          <w:tcPr>
            <w:tcW w:w="4322" w:type="dxa"/>
            <w:shd w:val="clear" w:color="auto" w:fill="C2D69B" w:themeFill="accent3" w:themeFillTint="99"/>
          </w:tcPr>
          <w:p w:rsidR="00625722" w:rsidRDefault="00625722" w:rsidP="00290342">
            <w:pPr>
              <w:spacing w:before="120" w:after="120"/>
              <w:jc w:val="both"/>
              <w:rPr>
                <w:rFonts w:ascii="Times New Roman" w:hAnsi="Times New Roman" w:cs="Times New Roman"/>
                <w:sz w:val="24"/>
                <w:szCs w:val="24"/>
                <w:lang w:val="en-US"/>
              </w:rPr>
            </w:pPr>
            <w:r w:rsidRPr="00452909">
              <w:rPr>
                <w:rFonts w:ascii="Times New Roman" w:hAnsi="Times New Roman" w:cs="Times New Roman"/>
                <w:b/>
                <w:lang w:val="en-US"/>
              </w:rPr>
              <w:t>National Target 17:</w:t>
            </w:r>
            <w:r w:rsidRPr="000A0C9F">
              <w:rPr>
                <w:rFonts w:ascii="Times New Roman" w:hAnsi="Times New Roman" w:cs="Times New Roman"/>
                <w:lang w:val="en-US"/>
              </w:rPr>
              <w:t xml:space="preserve"> By 2014, the national biodiversity strategy is updated and adopted as policy instrument, with effective, participatory and updated action plans, which foresee periodic monitoring and evaluation.</w:t>
            </w:r>
          </w:p>
        </w:tc>
        <w:tc>
          <w:tcPr>
            <w:tcW w:w="4322" w:type="dxa"/>
            <w:vAlign w:val="center"/>
          </w:tcPr>
          <w:p w:rsidR="00625722" w:rsidRDefault="00625722" w:rsidP="00290342">
            <w:pPr>
              <w:spacing w:before="120" w:after="120"/>
              <w:jc w:val="center"/>
              <w:rPr>
                <w:rFonts w:ascii="Times New Roman" w:hAnsi="Times New Roman" w:cs="Times New Roman"/>
                <w:sz w:val="24"/>
                <w:szCs w:val="24"/>
                <w:lang w:val="en-US"/>
              </w:rPr>
            </w:pPr>
            <w:r>
              <w:rPr>
                <w:noProof/>
                <w:lang w:eastAsia="pt-BR"/>
              </w:rPr>
              <w:drawing>
                <wp:inline distT="0" distB="0" distL="0" distR="0" wp14:anchorId="46D1918F" wp14:editId="70C9E74C">
                  <wp:extent cx="405517" cy="405517"/>
                  <wp:effectExtent l="0" t="0" r="0" b="0"/>
                  <wp:docPr id="86" name="Imagem 86" descr="circulo_na_metad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circulo_na_metade.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4812" cy="404812"/>
                          </a:xfrm>
                          <a:prstGeom prst="rect">
                            <a:avLst/>
                          </a:prstGeom>
                          <a:noFill/>
                          <a:ln>
                            <a:noFill/>
                          </a:ln>
                        </pic:spPr>
                      </pic:pic>
                    </a:graphicData>
                  </a:graphic>
                </wp:inline>
              </w:drawing>
            </w:r>
          </w:p>
        </w:tc>
      </w:tr>
      <w:tr w:rsidR="00625722" w:rsidRPr="00AE6C33" w:rsidTr="00290342">
        <w:tc>
          <w:tcPr>
            <w:tcW w:w="4322" w:type="dxa"/>
            <w:shd w:val="clear" w:color="auto" w:fill="EAF1DD" w:themeFill="accent3" w:themeFillTint="33"/>
          </w:tcPr>
          <w:p w:rsidR="00625722" w:rsidRPr="00B724CE" w:rsidRDefault="00625722" w:rsidP="00290342">
            <w:pPr>
              <w:spacing w:before="120" w:after="120"/>
              <w:jc w:val="both"/>
              <w:rPr>
                <w:rFonts w:ascii="Times New Roman" w:hAnsi="Times New Roman" w:cs="Times New Roman"/>
                <w:lang w:val="en-US"/>
              </w:rPr>
            </w:pPr>
            <w:r>
              <w:rPr>
                <w:rFonts w:ascii="Times New Roman" w:hAnsi="Times New Roman" w:cs="Times New Roman"/>
                <w:b/>
                <w:lang w:val="en-US"/>
              </w:rPr>
              <w:t xml:space="preserve">Aichi Global Target 17: </w:t>
            </w:r>
            <w:r w:rsidRPr="00FF44B3">
              <w:rPr>
                <w:rFonts w:ascii="Times New Roman" w:hAnsi="Times New Roman" w:cs="Times New Roman"/>
                <w:lang w:val="en-US"/>
              </w:rPr>
              <w:t>By 2015 each Party has developed, adopted as a policy instrument, and has commenced implementing an effective, participatory and updated national biodiversity strategy and action plan</w:t>
            </w:r>
            <w:r>
              <w:rPr>
                <w:rFonts w:ascii="Times New Roman" w:hAnsi="Times New Roman" w:cs="Times New Roman"/>
                <w:lang w:val="en-US"/>
              </w:rPr>
              <w:t>.</w:t>
            </w:r>
          </w:p>
        </w:tc>
        <w:tc>
          <w:tcPr>
            <w:tcW w:w="4322" w:type="dxa"/>
            <w:vAlign w:val="center"/>
          </w:tcPr>
          <w:p w:rsidR="00625722" w:rsidRPr="00B724CE" w:rsidRDefault="00625722" w:rsidP="00290342">
            <w:pPr>
              <w:spacing w:before="120" w:after="120"/>
              <w:jc w:val="center"/>
              <w:rPr>
                <w:noProof/>
                <w:sz w:val="18"/>
                <w:lang w:val="en-US" w:eastAsia="pt-BR"/>
              </w:rPr>
            </w:pPr>
            <w:r>
              <w:rPr>
                <w:noProof/>
                <w:lang w:eastAsia="pt-BR"/>
              </w:rPr>
              <w:drawing>
                <wp:inline distT="0" distB="0" distL="0" distR="0" wp14:anchorId="0CBB5256" wp14:editId="09526D29">
                  <wp:extent cx="405517" cy="405517"/>
                  <wp:effectExtent l="0" t="0" r="0" b="0"/>
                  <wp:docPr id="87" name="Imagem 87" descr="circulo_na_metad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circulo_na_metade.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4812" cy="404812"/>
                          </a:xfrm>
                          <a:prstGeom prst="rect">
                            <a:avLst/>
                          </a:prstGeom>
                          <a:noFill/>
                          <a:ln>
                            <a:noFill/>
                          </a:ln>
                        </pic:spPr>
                      </pic:pic>
                    </a:graphicData>
                  </a:graphic>
                </wp:inline>
              </w:drawing>
            </w:r>
          </w:p>
        </w:tc>
      </w:tr>
    </w:tbl>
    <w:p w:rsidR="00625722" w:rsidRDefault="00625722" w:rsidP="00625722">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Following the definition of 20 new Global Biodiversity Targets at COP-10 (Nagoya, 2010) and in an attempt to avoid the mistakes that prevented the achievement of most previous national and global targets, the need arose to design a different strategy to review and update the NBSAP and 2010 targets, this time effectively involving stakeholders of all sectors. This new approach could be considered as the first step in the construction of a new National Strategy for 2011-2020 in Brazil.</w:t>
      </w:r>
    </w:p>
    <w:p w:rsidR="00625722" w:rsidRDefault="00625722" w:rsidP="00625722">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Implementation of the new approach began in 2013 with a broad consultation effort to achieve a collective construction of the revised NBSAP and new National Biodiversity Targets for 2020 in an initiative known as Dialogues on Biodiversity, which resulted in the definition of a more concise set of 20 National Targets (see section 2.1.2). Also as part of the new approach, various other initiatives are being carried out</w:t>
      </w:r>
      <w:r w:rsidRPr="00FF362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parallel in 2014, one of which is the development of a Governmental Action Plan for the Conservation and Sustainable Use of Biodiversity (see section 2.1.3), complemented by the construction of the </w:t>
      </w:r>
      <w:proofErr w:type="spellStart"/>
      <w:r>
        <w:rPr>
          <w:rFonts w:ascii="Times New Roman" w:hAnsi="Times New Roman" w:cs="Times New Roman"/>
          <w:sz w:val="24"/>
          <w:szCs w:val="24"/>
          <w:lang w:val="en-US"/>
        </w:rPr>
        <w:t>PainelBio</w:t>
      </w:r>
      <w:proofErr w:type="spellEnd"/>
      <w:r>
        <w:rPr>
          <w:rFonts w:ascii="Times New Roman" w:hAnsi="Times New Roman" w:cs="Times New Roman"/>
          <w:sz w:val="24"/>
          <w:szCs w:val="24"/>
          <w:lang w:val="en-US"/>
        </w:rPr>
        <w:t xml:space="preserve"> (see section 2.1.4) to assist in the implementation and monitoring of the National Targets. Initial steps are also being carried out to design a national strategy for the mobilization of resources and capacity (see section 2.1.5).</w:t>
      </w:r>
    </w:p>
    <w:p w:rsidR="00625722" w:rsidRDefault="00625722" w:rsidP="00625722">
      <w:pPr>
        <w:spacing w:before="120" w:after="120"/>
        <w:jc w:val="both"/>
        <w:rPr>
          <w:rFonts w:ascii="Times New Roman" w:hAnsi="Times New Roman" w:cs="Times New Roman"/>
          <w:sz w:val="24"/>
          <w:szCs w:val="24"/>
          <w:lang w:val="en-US"/>
        </w:rPr>
      </w:pPr>
    </w:p>
    <w:tbl>
      <w:tblPr>
        <w:tblStyle w:val="Tabelacomgrade"/>
        <w:tblW w:w="0" w:type="auto"/>
        <w:tblLook w:val="04A0" w:firstRow="1" w:lastRow="0" w:firstColumn="1" w:lastColumn="0" w:noHBand="0" w:noVBand="1"/>
      </w:tblPr>
      <w:tblGrid>
        <w:gridCol w:w="4322"/>
        <w:gridCol w:w="4322"/>
      </w:tblGrid>
      <w:tr w:rsidR="00625722" w:rsidRPr="00AE6C33" w:rsidTr="00290342">
        <w:tc>
          <w:tcPr>
            <w:tcW w:w="4322" w:type="dxa"/>
            <w:shd w:val="clear" w:color="auto" w:fill="C2D69B" w:themeFill="accent3" w:themeFillTint="99"/>
          </w:tcPr>
          <w:p w:rsidR="00625722" w:rsidRDefault="00625722" w:rsidP="00290342">
            <w:pPr>
              <w:spacing w:before="120" w:after="120"/>
              <w:jc w:val="both"/>
              <w:rPr>
                <w:rFonts w:ascii="Times New Roman" w:hAnsi="Times New Roman" w:cs="Times New Roman"/>
                <w:sz w:val="24"/>
                <w:szCs w:val="24"/>
                <w:lang w:val="en-US"/>
              </w:rPr>
            </w:pPr>
            <w:r w:rsidRPr="00452909">
              <w:rPr>
                <w:rFonts w:ascii="Times New Roman" w:hAnsi="Times New Roman" w:cs="Times New Roman"/>
                <w:b/>
                <w:lang w:val="en-US"/>
              </w:rPr>
              <w:t>National Target 18:</w:t>
            </w:r>
            <w:r w:rsidRPr="000A0C9F">
              <w:rPr>
                <w:rFonts w:ascii="Times New Roman" w:hAnsi="Times New Roman" w:cs="Times New Roman"/>
                <w:lang w:val="en-US"/>
              </w:rPr>
              <w:t xml:space="preserve"> By 2020, the traditional knowledge, innovations and practices of indigenous peoples, family rural producers and traditional communities relevant for the conservation and sustainable use of biodiversity, and their customary use of biological resources, are respected, in accordance with their uses, customs and traditions, national legislation and relevant international commitments, and fully integrated and reflected in the implementation of the CBD, with the full and effective participation of indigenous peoples, family rural producers and traditional communities, </w:t>
            </w:r>
            <w:r w:rsidRPr="000A0C9F">
              <w:rPr>
                <w:rFonts w:ascii="Times New Roman" w:hAnsi="Times New Roman" w:cs="Times New Roman"/>
                <w:lang w:val="en-US"/>
              </w:rPr>
              <w:lastRenderedPageBreak/>
              <w:t>at all relevant levels.</w:t>
            </w:r>
          </w:p>
        </w:tc>
        <w:tc>
          <w:tcPr>
            <w:tcW w:w="4322" w:type="dxa"/>
            <w:vAlign w:val="center"/>
          </w:tcPr>
          <w:p w:rsidR="00625722" w:rsidRDefault="00625722" w:rsidP="00290342">
            <w:pPr>
              <w:spacing w:before="120" w:after="120"/>
              <w:jc w:val="center"/>
              <w:rPr>
                <w:rFonts w:ascii="Times New Roman" w:hAnsi="Times New Roman" w:cs="Times New Roman"/>
                <w:sz w:val="24"/>
                <w:szCs w:val="24"/>
                <w:lang w:val="en-US"/>
              </w:rPr>
            </w:pPr>
            <w:r>
              <w:rPr>
                <w:noProof/>
                <w:lang w:eastAsia="pt-BR"/>
              </w:rPr>
              <w:lastRenderedPageBreak/>
              <w:drawing>
                <wp:inline distT="0" distB="0" distL="0" distR="0" wp14:anchorId="3A326F0C" wp14:editId="3BDAFF31">
                  <wp:extent cx="405517" cy="405517"/>
                  <wp:effectExtent l="0" t="0" r="0" b="0"/>
                  <wp:docPr id="88" name="Imagem 88" descr="circulo_na_metad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circulo_na_metade.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4812" cy="404812"/>
                          </a:xfrm>
                          <a:prstGeom prst="rect">
                            <a:avLst/>
                          </a:prstGeom>
                          <a:noFill/>
                          <a:ln>
                            <a:noFill/>
                          </a:ln>
                        </pic:spPr>
                      </pic:pic>
                    </a:graphicData>
                  </a:graphic>
                </wp:inline>
              </w:drawing>
            </w:r>
          </w:p>
        </w:tc>
      </w:tr>
      <w:tr w:rsidR="00625722" w:rsidRPr="00AE6C33" w:rsidTr="00290342">
        <w:tc>
          <w:tcPr>
            <w:tcW w:w="4322" w:type="dxa"/>
            <w:shd w:val="clear" w:color="auto" w:fill="EAF1DD" w:themeFill="accent3" w:themeFillTint="33"/>
          </w:tcPr>
          <w:p w:rsidR="00625722" w:rsidRPr="00B724CE" w:rsidRDefault="00625722" w:rsidP="00290342">
            <w:pPr>
              <w:spacing w:before="120" w:after="120"/>
              <w:jc w:val="both"/>
              <w:rPr>
                <w:rFonts w:ascii="Times New Roman" w:hAnsi="Times New Roman" w:cs="Times New Roman"/>
                <w:lang w:val="en-US"/>
              </w:rPr>
            </w:pPr>
            <w:r>
              <w:rPr>
                <w:rFonts w:ascii="Times New Roman" w:hAnsi="Times New Roman" w:cs="Times New Roman"/>
                <w:b/>
                <w:lang w:val="en-US"/>
              </w:rPr>
              <w:lastRenderedPageBreak/>
              <w:t xml:space="preserve">Aichi Global Target 18: </w:t>
            </w:r>
            <w:r w:rsidRPr="00EA37E4">
              <w:rPr>
                <w:rFonts w:ascii="Times New Roman" w:hAnsi="Times New Roman" w:cs="Times New Roman"/>
                <w:lang w:val="en-US"/>
              </w:rPr>
              <w:t>By 2020, the traditional knowledge, innovations and practices of indigenous and local communities relevant for the conservation and sustainable use of biodiversity, and their customary use of biological resources, are respected, subject to national legislation and relevant international obligations, and fully integrated and reflected in the implementation of the Convention with the full and effective participation of indigenous and local communities, at all relevant levels</w:t>
            </w:r>
            <w:r>
              <w:rPr>
                <w:rFonts w:ascii="Times New Roman" w:hAnsi="Times New Roman" w:cs="Times New Roman"/>
                <w:lang w:val="en-US"/>
              </w:rPr>
              <w:t>.</w:t>
            </w:r>
          </w:p>
        </w:tc>
        <w:tc>
          <w:tcPr>
            <w:tcW w:w="4322" w:type="dxa"/>
            <w:vAlign w:val="center"/>
          </w:tcPr>
          <w:p w:rsidR="00625722" w:rsidRPr="00B724CE" w:rsidRDefault="00625722" w:rsidP="00290342">
            <w:pPr>
              <w:spacing w:before="120" w:after="120"/>
              <w:jc w:val="center"/>
              <w:rPr>
                <w:noProof/>
                <w:sz w:val="18"/>
                <w:lang w:val="en-US" w:eastAsia="pt-BR"/>
              </w:rPr>
            </w:pPr>
            <w:r>
              <w:rPr>
                <w:noProof/>
                <w:lang w:eastAsia="pt-BR"/>
              </w:rPr>
              <w:drawing>
                <wp:inline distT="0" distB="0" distL="0" distR="0" wp14:anchorId="5B7CE0DA" wp14:editId="60CAF42B">
                  <wp:extent cx="405517" cy="405517"/>
                  <wp:effectExtent l="0" t="0" r="0" b="0"/>
                  <wp:docPr id="89" name="Imagem 89" descr="circulo_na_metad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circulo_na_metade.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4812" cy="404812"/>
                          </a:xfrm>
                          <a:prstGeom prst="rect">
                            <a:avLst/>
                          </a:prstGeom>
                          <a:noFill/>
                          <a:ln>
                            <a:noFill/>
                          </a:ln>
                        </pic:spPr>
                      </pic:pic>
                    </a:graphicData>
                  </a:graphic>
                </wp:inline>
              </w:drawing>
            </w:r>
          </w:p>
        </w:tc>
      </w:tr>
    </w:tbl>
    <w:p w:rsidR="00625722" w:rsidRDefault="00625722" w:rsidP="00625722">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Despite the significant advances among indigenous peoples and traditional communities in their political organization and representation of their agendas by the government and general society, it is still a challenge to find representative voices for the high diversity of these groups to effectively include their demands in public policies. The creation of the National Commission for the Sustainable Development of Traditional Peoples and Communities in 2006 was an important step to deal with such complexity, although other equally complex challenges remain, such as to build reliable processes and enough capacity to meet the commitment of informed consultation, informed consent and fair and equitable benefit sharing.</w:t>
      </w:r>
      <w:r>
        <w:rPr>
          <w:rStyle w:val="Refdenotaderodap"/>
          <w:rFonts w:ascii="Times New Roman" w:hAnsi="Times New Roman" w:cs="Times New Roman"/>
          <w:szCs w:val="24"/>
          <w:lang w:val="en-US"/>
        </w:rPr>
        <w:footnoteReference w:id="17"/>
      </w:r>
      <w:r>
        <w:rPr>
          <w:rFonts w:ascii="Times New Roman" w:hAnsi="Times New Roman" w:cs="Times New Roman"/>
          <w:sz w:val="24"/>
          <w:szCs w:val="24"/>
          <w:lang w:val="en-US"/>
        </w:rPr>
        <w:t xml:space="preserve"> To deal with this challenge, the MMA is developing a methodology for the participatory preparation of community-specific Community Protocols defining the conditions and terms for access to traditional knowledge or genetic resources and benefit sharing.</w:t>
      </w:r>
    </w:p>
    <w:p w:rsidR="00625722" w:rsidRDefault="00625722" w:rsidP="00625722">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Several public policies, initiatives and projects have been established and are being implemented to support the sustainable development of indigenous peoples and traditional communities, and enhance their participation in decision making: t</w:t>
      </w:r>
      <w:r w:rsidRPr="00DB1888">
        <w:rPr>
          <w:rFonts w:ascii="Times New Roman" w:hAnsi="Times New Roman" w:cs="Times New Roman"/>
          <w:sz w:val="24"/>
          <w:szCs w:val="24"/>
          <w:lang w:val="en-US"/>
        </w:rPr>
        <w:t>he National Policy for the Sustainable Development of Traditional Peoples and Communities (</w:t>
      </w:r>
      <w:r>
        <w:rPr>
          <w:rFonts w:ascii="Times New Roman" w:hAnsi="Times New Roman" w:cs="Times New Roman"/>
          <w:sz w:val="24"/>
          <w:szCs w:val="24"/>
          <w:lang w:val="en-US"/>
        </w:rPr>
        <w:t>PNPCT</w:t>
      </w:r>
      <w:r w:rsidRPr="00DB1888">
        <w:rPr>
          <w:rFonts w:ascii="Times New Roman" w:hAnsi="Times New Roman" w:cs="Times New Roman"/>
          <w:sz w:val="24"/>
          <w:szCs w:val="24"/>
          <w:lang w:val="en-US"/>
        </w:rPr>
        <w:t>)</w:t>
      </w:r>
      <w:r>
        <w:rPr>
          <w:rFonts w:ascii="Times New Roman" w:hAnsi="Times New Roman" w:cs="Times New Roman"/>
          <w:sz w:val="24"/>
          <w:szCs w:val="24"/>
          <w:lang w:val="en-US"/>
        </w:rPr>
        <w:t>, under which the 1</w:t>
      </w:r>
      <w:r w:rsidRPr="00E718C5">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National Plan for the Sustainable Development of Traditional Peoples and Communities of African Origin was launched in January 2013, and a Plan for Strengthening Extractive Activities (PLANAFE) is under preparation. In November 2013 the federal government supported the event 2</w:t>
      </w:r>
      <w:r w:rsidRPr="00E25CF7">
        <w:rPr>
          <w:rFonts w:ascii="Times New Roman" w:hAnsi="Times New Roman" w:cs="Times New Roman"/>
          <w:sz w:val="24"/>
          <w:szCs w:val="24"/>
          <w:vertAlign w:val="superscript"/>
          <w:lang w:val="en-US"/>
        </w:rPr>
        <w:t>nd</w:t>
      </w:r>
      <w:r>
        <w:rPr>
          <w:rFonts w:ascii="Times New Roman" w:hAnsi="Times New Roman" w:cs="Times New Roman"/>
          <w:sz w:val="24"/>
          <w:szCs w:val="24"/>
          <w:lang w:val="en-US"/>
        </w:rPr>
        <w:t xml:space="preserve"> Forest Call (2</w:t>
      </w:r>
      <w:r w:rsidRPr="00E25CF7">
        <w:rPr>
          <w:rFonts w:ascii="Times New Roman" w:hAnsi="Times New Roman" w:cs="Times New Roman"/>
          <w:sz w:val="24"/>
          <w:szCs w:val="24"/>
          <w:vertAlign w:val="superscript"/>
          <w:lang w:val="en-US"/>
        </w:rPr>
        <w:t>o</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Chamado</w:t>
      </w:r>
      <w:proofErr w:type="spellEnd"/>
      <w:r>
        <w:rPr>
          <w:rFonts w:ascii="Times New Roman" w:hAnsi="Times New Roman" w:cs="Times New Roman"/>
          <w:sz w:val="24"/>
          <w:szCs w:val="24"/>
          <w:lang w:val="en-US"/>
        </w:rPr>
        <w:t xml:space="preserve"> da </w:t>
      </w:r>
      <w:proofErr w:type="spellStart"/>
      <w:r>
        <w:rPr>
          <w:rFonts w:ascii="Times New Roman" w:hAnsi="Times New Roman" w:cs="Times New Roman"/>
          <w:sz w:val="24"/>
          <w:szCs w:val="24"/>
          <w:lang w:val="en-US"/>
        </w:rPr>
        <w:t>Floresta</w:t>
      </w:r>
      <w:proofErr w:type="spellEnd"/>
      <w:r>
        <w:rPr>
          <w:rFonts w:ascii="Times New Roman" w:hAnsi="Times New Roman" w:cs="Times New Roman"/>
          <w:sz w:val="24"/>
          <w:szCs w:val="24"/>
          <w:lang w:val="en-US"/>
        </w:rPr>
        <w:t xml:space="preserve">), organized by the National Council of Extractive Workers (CNS), to take stock and evaluate the implementation of public policies addressing extractive populations. Additionally, in 2012 the National Fund for the Environment (FNMA) supported the development of five Plans for the Sustainable Development of Traditional Peoples and Communities, three of which addressing conservationist community initiatives led by women (fisherwomen, mussel collectors, </w:t>
      </w:r>
      <w:proofErr w:type="spellStart"/>
      <w:r>
        <w:rPr>
          <w:rFonts w:ascii="Times New Roman" w:hAnsi="Times New Roman" w:cs="Times New Roman"/>
          <w:sz w:val="24"/>
          <w:szCs w:val="24"/>
          <w:lang w:val="en-US"/>
        </w:rPr>
        <w:t>babassu</w:t>
      </w:r>
      <w:proofErr w:type="spellEnd"/>
      <w:r>
        <w:rPr>
          <w:rFonts w:ascii="Times New Roman" w:hAnsi="Times New Roman" w:cs="Times New Roman"/>
          <w:sz w:val="24"/>
          <w:szCs w:val="24"/>
          <w:lang w:val="en-US"/>
        </w:rPr>
        <w:t xml:space="preserve"> coconut-crackers, and family farmers).</w:t>
      </w:r>
    </w:p>
    <w:p w:rsidR="00625722" w:rsidRDefault="00625722" w:rsidP="00625722">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Pr="009170F2">
        <w:rPr>
          <w:rFonts w:ascii="Times New Roman" w:hAnsi="Times New Roman" w:cs="Times New Roman"/>
          <w:sz w:val="24"/>
          <w:szCs w:val="24"/>
          <w:lang w:val="en-US"/>
        </w:rPr>
        <w:t xml:space="preserve"> National Plan to Promote Production Chains of Products from Socio-Biodiversity (PNPSB)</w:t>
      </w:r>
      <w:r>
        <w:rPr>
          <w:rFonts w:ascii="Times New Roman" w:hAnsi="Times New Roman" w:cs="Times New Roman"/>
          <w:sz w:val="24"/>
          <w:szCs w:val="24"/>
          <w:lang w:val="en-US"/>
        </w:rPr>
        <w:t>, the national Policy on Minimum Prices for Products from Socio-biodiversity (</w:t>
      </w:r>
      <w:proofErr w:type="spellStart"/>
      <w:r>
        <w:rPr>
          <w:rFonts w:ascii="Times New Roman" w:hAnsi="Times New Roman" w:cs="Times New Roman"/>
          <w:sz w:val="24"/>
          <w:szCs w:val="24"/>
          <w:lang w:val="en-US"/>
        </w:rPr>
        <w:t>PGPMBio</w:t>
      </w:r>
      <w:proofErr w:type="spellEnd"/>
      <w:r>
        <w:rPr>
          <w:rFonts w:ascii="Times New Roman" w:hAnsi="Times New Roman" w:cs="Times New Roman"/>
          <w:sz w:val="24"/>
          <w:szCs w:val="24"/>
          <w:lang w:val="en-US"/>
        </w:rPr>
        <w:t>) and the national Program for Food Acquisition (PAA) promote the sustainable use of biodiversity by traditional peoples and communities and contribute to the formalization of commercialization of socio-biodiversity products, also promoting the rupture of economic exploitation and monopoly relations practiced by local buyers and middle-men.</w:t>
      </w:r>
    </w:p>
    <w:p w:rsidR="00625722" w:rsidRPr="00C2298C" w:rsidRDefault="00625722" w:rsidP="00625722">
      <w:pPr>
        <w:spacing w:before="120" w:after="120"/>
        <w:jc w:val="both"/>
        <w:rPr>
          <w:rFonts w:ascii="Times New Roman" w:eastAsia="Mangal" w:hAnsi="Times New Roman" w:cs="Times New Roman"/>
          <w:color w:val="000000"/>
          <w:sz w:val="24"/>
          <w:szCs w:val="24"/>
          <w:lang w:val="en-US"/>
        </w:rPr>
      </w:pPr>
      <w:r w:rsidRPr="002411E3">
        <w:rPr>
          <w:rFonts w:ascii="Times New Roman" w:hAnsi="Times New Roman" w:cs="Times New Roman"/>
          <w:sz w:val="24"/>
          <w:szCs w:val="24"/>
          <w:lang w:val="en-US"/>
        </w:rPr>
        <w:lastRenderedPageBreak/>
        <w:t xml:space="preserve">The National Policy on Territorial and Environmental Management of Indigenous Lands – PNGATI was enacted in 2012 </w:t>
      </w:r>
      <w:r>
        <w:rPr>
          <w:rFonts w:ascii="Times New Roman" w:hAnsi="Times New Roman" w:cs="Times New Roman"/>
          <w:sz w:val="24"/>
          <w:szCs w:val="24"/>
          <w:lang w:val="en-US"/>
        </w:rPr>
        <w:t xml:space="preserve">and the PNGATI Management Committee became operational in October 2013. Since then, </w:t>
      </w:r>
      <w:r w:rsidRPr="00FD5B43">
        <w:rPr>
          <w:rFonts w:ascii="Times New Roman" w:hAnsi="Times New Roman" w:cs="Times New Roman"/>
          <w:sz w:val="24"/>
          <w:szCs w:val="24"/>
          <w:lang w:val="en-US"/>
        </w:rPr>
        <w:t xml:space="preserve">16 projects were approved to develop, by the end of 2014, </w:t>
      </w:r>
      <w:r>
        <w:rPr>
          <w:rFonts w:ascii="Times New Roman" w:hAnsi="Times New Roman" w:cs="Times New Roman"/>
          <w:sz w:val="24"/>
          <w:szCs w:val="24"/>
          <w:lang w:val="en-US"/>
        </w:rPr>
        <w:t xml:space="preserve">Territorial and Environmental Indigenous Land Management Plans – PGTA </w:t>
      </w:r>
      <w:r w:rsidRPr="00FD5B43">
        <w:rPr>
          <w:rFonts w:ascii="Times New Roman" w:hAnsi="Times New Roman" w:cs="Times New Roman"/>
          <w:sz w:val="24"/>
          <w:szCs w:val="24"/>
          <w:lang w:val="en-US"/>
        </w:rPr>
        <w:t>for indigenous lands in the Amazon</w:t>
      </w:r>
      <w:r>
        <w:rPr>
          <w:rFonts w:ascii="Times New Roman" w:hAnsi="Times New Roman" w:cs="Times New Roman"/>
          <w:sz w:val="24"/>
          <w:szCs w:val="24"/>
          <w:lang w:val="en-US"/>
        </w:rPr>
        <w:t xml:space="preserve"> </w:t>
      </w:r>
      <w:r w:rsidRPr="00EB2664">
        <w:rPr>
          <w:rStyle w:val="Forte"/>
          <w:rFonts w:eastAsia="Mangal" w:cs="Times New Roman"/>
          <w:color w:val="000000"/>
          <w:sz w:val="24"/>
          <w:szCs w:val="24"/>
          <w:lang w:val="en-US"/>
        </w:rPr>
        <w:t xml:space="preserve">Public bids are currently in preparation for the </w:t>
      </w:r>
      <w:r>
        <w:rPr>
          <w:rStyle w:val="Forte"/>
          <w:rFonts w:eastAsia="Mangal" w:cs="Times New Roman"/>
          <w:color w:val="000000"/>
          <w:sz w:val="24"/>
          <w:szCs w:val="24"/>
          <w:lang w:val="en-US"/>
        </w:rPr>
        <w:t xml:space="preserve">elaboration of PGTAs for indigenous lands in the </w:t>
      </w:r>
      <w:proofErr w:type="spellStart"/>
      <w:r>
        <w:rPr>
          <w:rStyle w:val="Forte"/>
          <w:rFonts w:eastAsia="Mangal" w:cs="Times New Roman"/>
          <w:color w:val="000000"/>
          <w:sz w:val="24"/>
          <w:szCs w:val="24"/>
          <w:lang w:val="en-US"/>
        </w:rPr>
        <w:t>Cerrado</w:t>
      </w:r>
      <w:proofErr w:type="spellEnd"/>
      <w:r>
        <w:rPr>
          <w:rStyle w:val="Forte"/>
          <w:rFonts w:eastAsia="Mangal" w:cs="Times New Roman"/>
          <w:color w:val="000000"/>
          <w:sz w:val="24"/>
          <w:szCs w:val="24"/>
          <w:lang w:val="en-US"/>
        </w:rPr>
        <w:t xml:space="preserve"> and </w:t>
      </w:r>
      <w:proofErr w:type="spellStart"/>
      <w:r>
        <w:rPr>
          <w:rStyle w:val="Forte"/>
          <w:rFonts w:eastAsia="Mangal" w:cs="Times New Roman"/>
          <w:color w:val="000000"/>
          <w:sz w:val="24"/>
          <w:szCs w:val="24"/>
          <w:lang w:val="en-US"/>
        </w:rPr>
        <w:t>Caatinga</w:t>
      </w:r>
      <w:proofErr w:type="spellEnd"/>
      <w:r>
        <w:rPr>
          <w:rStyle w:val="Forte"/>
          <w:rFonts w:eastAsia="Mangal" w:cs="Times New Roman"/>
          <w:color w:val="000000"/>
          <w:sz w:val="24"/>
          <w:szCs w:val="24"/>
          <w:lang w:val="en-US"/>
        </w:rPr>
        <w:t xml:space="preserve"> biomes, and for the implementation of PGTAs in the Amazon biome. Six regional training courses to build management capacity for the implementation of the PNGATI policy are ongoing in the Legal Amazon (3), </w:t>
      </w:r>
      <w:proofErr w:type="spellStart"/>
      <w:r>
        <w:rPr>
          <w:rStyle w:val="Forte"/>
          <w:rFonts w:eastAsia="Mangal" w:cs="Times New Roman"/>
          <w:color w:val="000000"/>
          <w:sz w:val="24"/>
          <w:szCs w:val="24"/>
          <w:lang w:val="en-US"/>
        </w:rPr>
        <w:t>Cerrado</w:t>
      </w:r>
      <w:proofErr w:type="spellEnd"/>
      <w:r>
        <w:rPr>
          <w:rStyle w:val="Forte"/>
          <w:rFonts w:eastAsia="Mangal" w:cs="Times New Roman"/>
          <w:color w:val="000000"/>
          <w:sz w:val="24"/>
          <w:szCs w:val="24"/>
          <w:lang w:val="en-US"/>
        </w:rPr>
        <w:t xml:space="preserve"> and </w:t>
      </w:r>
      <w:proofErr w:type="spellStart"/>
      <w:r>
        <w:rPr>
          <w:rStyle w:val="Forte"/>
          <w:rFonts w:eastAsia="Mangal" w:cs="Times New Roman"/>
          <w:color w:val="000000"/>
          <w:sz w:val="24"/>
          <w:szCs w:val="24"/>
          <w:lang w:val="en-US"/>
        </w:rPr>
        <w:t>Caatinga</w:t>
      </w:r>
      <w:proofErr w:type="spellEnd"/>
      <w:r>
        <w:rPr>
          <w:rStyle w:val="Forte"/>
          <w:rFonts w:eastAsia="Mangal" w:cs="Times New Roman"/>
          <w:color w:val="000000"/>
          <w:sz w:val="24"/>
          <w:szCs w:val="24"/>
          <w:lang w:val="en-US"/>
        </w:rPr>
        <w:t xml:space="preserve"> (3), and the Atlantic Forest (1). </w:t>
      </w:r>
    </w:p>
    <w:p w:rsidR="00625722" w:rsidRPr="00DB1888" w:rsidRDefault="00625722" w:rsidP="00625722">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The MMA is also supporting an ongoing initiative for the development and launching of a database on existing organizations of traditional peoples and communities – the YPADÊ portal (</w:t>
      </w:r>
      <w:hyperlink r:id="rId11" w:history="1">
        <w:r w:rsidRPr="003F5260">
          <w:rPr>
            <w:rStyle w:val="Hyperlink"/>
            <w:rFonts w:ascii="Times New Roman" w:hAnsi="Times New Roman" w:cs="Times New Roman"/>
            <w:sz w:val="24"/>
            <w:szCs w:val="24"/>
            <w:lang w:val="en-US"/>
          </w:rPr>
          <w:t>www.caa.org.br/ypade</w:t>
        </w:r>
      </w:hyperlink>
      <w:r>
        <w:rPr>
          <w:rFonts w:ascii="Times New Roman" w:hAnsi="Times New Roman" w:cs="Times New Roman"/>
          <w:sz w:val="24"/>
          <w:szCs w:val="24"/>
          <w:lang w:val="en-US"/>
        </w:rPr>
        <w:t>). The portal contains information on traditional peoples and communities, as well as the initial mapping and database of their representative organizations.</w:t>
      </w:r>
    </w:p>
    <w:p w:rsidR="00625722" w:rsidRDefault="00625722" w:rsidP="00625722">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The Ministry of Culture (</w:t>
      </w:r>
      <w:proofErr w:type="spellStart"/>
      <w:r>
        <w:rPr>
          <w:rFonts w:ascii="Times New Roman" w:hAnsi="Times New Roman" w:cs="Times New Roman"/>
          <w:sz w:val="24"/>
          <w:szCs w:val="24"/>
          <w:lang w:val="en-US"/>
        </w:rPr>
        <w:t>MinC</w:t>
      </w:r>
      <w:proofErr w:type="spellEnd"/>
      <w:r>
        <w:rPr>
          <w:rFonts w:ascii="Times New Roman" w:hAnsi="Times New Roman" w:cs="Times New Roman"/>
          <w:sz w:val="24"/>
          <w:szCs w:val="24"/>
          <w:lang w:val="en-US"/>
        </w:rPr>
        <w:t xml:space="preserve">) has also been carrying out various initiatives to promote and disseminate traditional knowledge and practices. To insert traditional knowledge into formal education, </w:t>
      </w:r>
      <w:proofErr w:type="spellStart"/>
      <w:r>
        <w:rPr>
          <w:rFonts w:ascii="Times New Roman" w:hAnsi="Times New Roman" w:cs="Times New Roman"/>
          <w:sz w:val="24"/>
          <w:szCs w:val="24"/>
          <w:lang w:val="en-US"/>
        </w:rPr>
        <w:t>MinC</w:t>
      </w:r>
      <w:proofErr w:type="spellEnd"/>
      <w:r>
        <w:rPr>
          <w:rFonts w:ascii="Times New Roman" w:hAnsi="Times New Roman" w:cs="Times New Roman"/>
          <w:sz w:val="24"/>
          <w:szCs w:val="24"/>
          <w:lang w:val="en-US"/>
        </w:rPr>
        <w:t xml:space="preserve"> and the University of Brasília are promoting since 2010 the participation of instructors from traditional cultures in the workshops of the project Knowledge</w:t>
      </w:r>
      <w:r w:rsidRPr="00C035D6">
        <w:rPr>
          <w:rFonts w:ascii="Times New Roman" w:hAnsi="Times New Roman" w:cs="Times New Roman"/>
          <w:sz w:val="24"/>
          <w:szCs w:val="24"/>
          <w:lang w:val="en-US"/>
        </w:rPr>
        <w:t xml:space="preserve"> </w:t>
      </w:r>
      <w:r>
        <w:rPr>
          <w:rFonts w:ascii="Times New Roman" w:hAnsi="Times New Roman" w:cs="Times New Roman"/>
          <w:sz w:val="24"/>
          <w:szCs w:val="24"/>
          <w:lang w:val="en-US"/>
        </w:rPr>
        <w:t>Sharing and Cultural Diversity (</w:t>
      </w:r>
      <w:proofErr w:type="spellStart"/>
      <w:r>
        <w:rPr>
          <w:rFonts w:ascii="Times New Roman" w:hAnsi="Times New Roman" w:cs="Times New Roman"/>
          <w:i/>
          <w:sz w:val="24"/>
          <w:szCs w:val="24"/>
          <w:lang w:val="en-US"/>
        </w:rPr>
        <w:t>Encontro</w:t>
      </w:r>
      <w:proofErr w:type="spellEnd"/>
      <w:r>
        <w:rPr>
          <w:rFonts w:ascii="Times New Roman" w:hAnsi="Times New Roman" w:cs="Times New Roman"/>
          <w:i/>
          <w:sz w:val="24"/>
          <w:szCs w:val="24"/>
          <w:lang w:val="en-US"/>
        </w:rPr>
        <w:t xml:space="preserve"> de </w:t>
      </w:r>
      <w:proofErr w:type="spellStart"/>
      <w:r>
        <w:rPr>
          <w:rFonts w:ascii="Times New Roman" w:hAnsi="Times New Roman" w:cs="Times New Roman"/>
          <w:i/>
          <w:sz w:val="24"/>
          <w:szCs w:val="24"/>
          <w:lang w:val="en-US"/>
        </w:rPr>
        <w:t>Saberes</w:t>
      </w:r>
      <w:proofErr w:type="spellEnd"/>
      <w:r>
        <w:rPr>
          <w:rFonts w:ascii="Times New Roman" w:hAnsi="Times New Roman" w:cs="Times New Roman"/>
          <w:i/>
          <w:sz w:val="24"/>
          <w:szCs w:val="24"/>
          <w:lang w:val="en-US"/>
        </w:rPr>
        <w:t xml:space="preserve"> e </w:t>
      </w:r>
      <w:proofErr w:type="spellStart"/>
      <w:r>
        <w:rPr>
          <w:rFonts w:ascii="Times New Roman" w:hAnsi="Times New Roman" w:cs="Times New Roman"/>
          <w:i/>
          <w:sz w:val="24"/>
          <w:szCs w:val="24"/>
          <w:lang w:val="en-US"/>
        </w:rPr>
        <w:t>Diversidade</w:t>
      </w:r>
      <w:proofErr w:type="spellEnd"/>
      <w:r>
        <w:rPr>
          <w:rFonts w:ascii="Times New Roman" w:hAnsi="Times New Roman" w:cs="Times New Roman"/>
          <w:i/>
          <w:sz w:val="24"/>
          <w:szCs w:val="24"/>
          <w:lang w:val="en-US"/>
        </w:rPr>
        <w:t xml:space="preserve"> Cultural</w:t>
      </w:r>
      <w:r>
        <w:rPr>
          <w:rFonts w:ascii="Times New Roman" w:hAnsi="Times New Roman" w:cs="Times New Roman"/>
          <w:sz w:val="24"/>
          <w:szCs w:val="24"/>
          <w:lang w:val="en-US"/>
        </w:rPr>
        <w:t xml:space="preserve">) in Brazilian Universities. In July 2013, </w:t>
      </w:r>
      <w:proofErr w:type="spellStart"/>
      <w:r>
        <w:rPr>
          <w:rFonts w:ascii="Times New Roman" w:hAnsi="Times New Roman" w:cs="Times New Roman"/>
          <w:sz w:val="24"/>
          <w:szCs w:val="24"/>
          <w:lang w:val="en-US"/>
        </w:rPr>
        <w:t>MinC</w:t>
      </w:r>
      <w:proofErr w:type="spellEnd"/>
      <w:r>
        <w:rPr>
          <w:rFonts w:ascii="Times New Roman" w:hAnsi="Times New Roman" w:cs="Times New Roman"/>
          <w:sz w:val="24"/>
          <w:szCs w:val="24"/>
          <w:lang w:val="en-US"/>
        </w:rPr>
        <w:t xml:space="preserve"> also supported the 13</w:t>
      </w:r>
      <w:r w:rsidRPr="00EA0643">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Meeting of Traditional Cultures of </w:t>
      </w:r>
      <w:proofErr w:type="spellStart"/>
      <w:r>
        <w:rPr>
          <w:rFonts w:ascii="Times New Roman" w:hAnsi="Times New Roman" w:cs="Times New Roman"/>
          <w:sz w:val="24"/>
          <w:szCs w:val="24"/>
          <w:lang w:val="en-US"/>
        </w:rPr>
        <w:t>Chapada</w:t>
      </w:r>
      <w:proofErr w:type="spellEnd"/>
      <w:r>
        <w:rPr>
          <w:rFonts w:ascii="Times New Roman" w:hAnsi="Times New Roman" w:cs="Times New Roman"/>
          <w:sz w:val="24"/>
          <w:szCs w:val="24"/>
          <w:lang w:val="en-US"/>
        </w:rPr>
        <w:t xml:space="preserve"> dos </w:t>
      </w:r>
      <w:proofErr w:type="spellStart"/>
      <w:r>
        <w:rPr>
          <w:rFonts w:ascii="Times New Roman" w:hAnsi="Times New Roman" w:cs="Times New Roman"/>
          <w:sz w:val="24"/>
          <w:szCs w:val="24"/>
          <w:lang w:val="en-US"/>
        </w:rPr>
        <w:t>Veadeiros</w:t>
      </w:r>
      <w:proofErr w:type="spellEnd"/>
      <w:r>
        <w:rPr>
          <w:rFonts w:ascii="Times New Roman" w:hAnsi="Times New Roman" w:cs="Times New Roman"/>
          <w:sz w:val="24"/>
          <w:szCs w:val="24"/>
          <w:lang w:val="en-US"/>
        </w:rPr>
        <w:t xml:space="preserve">, in </w:t>
      </w:r>
      <w:proofErr w:type="spellStart"/>
      <w:r>
        <w:rPr>
          <w:rFonts w:ascii="Times New Roman" w:hAnsi="Times New Roman" w:cs="Times New Roman"/>
          <w:sz w:val="24"/>
          <w:szCs w:val="24"/>
          <w:lang w:val="en-US"/>
        </w:rPr>
        <w:t>Goiás</w:t>
      </w:r>
      <w:proofErr w:type="spellEnd"/>
      <w:r>
        <w:rPr>
          <w:rFonts w:ascii="Times New Roman" w:hAnsi="Times New Roman" w:cs="Times New Roman"/>
          <w:sz w:val="24"/>
          <w:szCs w:val="24"/>
          <w:lang w:val="en-US"/>
        </w:rPr>
        <w:t xml:space="preserve"> state, which was attended by 30,000 people. The annual event features debates and conferences to build capacity and </w:t>
      </w:r>
      <w:proofErr w:type="gramStart"/>
      <w:r>
        <w:rPr>
          <w:rFonts w:ascii="Times New Roman" w:hAnsi="Times New Roman" w:cs="Times New Roman"/>
          <w:sz w:val="24"/>
          <w:szCs w:val="24"/>
          <w:lang w:val="en-US"/>
        </w:rPr>
        <w:t>promote,</w:t>
      </w:r>
      <w:proofErr w:type="gramEnd"/>
      <w:r>
        <w:rPr>
          <w:rFonts w:ascii="Times New Roman" w:hAnsi="Times New Roman" w:cs="Times New Roman"/>
          <w:sz w:val="24"/>
          <w:szCs w:val="24"/>
          <w:lang w:val="en-US"/>
        </w:rPr>
        <w:t xml:space="preserve"> value and protect the ways of living of the Brazilian traditional peoples. </w:t>
      </w:r>
    </w:p>
    <w:p w:rsidR="00625722" w:rsidRDefault="00625722" w:rsidP="00625722">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Additionally, the Secretariat on Policies for Women (SPM) coordinates and monitors the implementation of the National Plan on Policies for Women (PNPM – </w:t>
      </w:r>
      <w:r>
        <w:rPr>
          <w:rFonts w:ascii="Times New Roman" w:hAnsi="Times New Roman" w:cs="Times New Roman"/>
          <w:i/>
          <w:sz w:val="24"/>
          <w:szCs w:val="24"/>
          <w:lang w:val="en-US"/>
        </w:rPr>
        <w:t xml:space="preserve">Plano </w:t>
      </w:r>
      <w:proofErr w:type="spellStart"/>
      <w:r>
        <w:rPr>
          <w:rFonts w:ascii="Times New Roman" w:hAnsi="Times New Roman" w:cs="Times New Roman"/>
          <w:i/>
          <w:sz w:val="24"/>
          <w:szCs w:val="24"/>
          <w:lang w:val="en-US"/>
        </w:rPr>
        <w:t>Nacional</w:t>
      </w:r>
      <w:proofErr w:type="spellEnd"/>
      <w:r>
        <w:rPr>
          <w:rFonts w:ascii="Times New Roman" w:hAnsi="Times New Roman" w:cs="Times New Roman"/>
          <w:i/>
          <w:sz w:val="24"/>
          <w:szCs w:val="24"/>
          <w:lang w:val="en-US"/>
        </w:rPr>
        <w:t xml:space="preserve"> de </w:t>
      </w:r>
      <w:proofErr w:type="spellStart"/>
      <w:r>
        <w:rPr>
          <w:rFonts w:ascii="Times New Roman" w:hAnsi="Times New Roman" w:cs="Times New Roman"/>
          <w:i/>
          <w:sz w:val="24"/>
          <w:szCs w:val="24"/>
          <w:lang w:val="en-US"/>
        </w:rPr>
        <w:t>Políticas</w:t>
      </w:r>
      <w:proofErr w:type="spellEnd"/>
      <w:r>
        <w:rPr>
          <w:rFonts w:ascii="Times New Roman" w:hAnsi="Times New Roman" w:cs="Times New Roman"/>
          <w:i/>
          <w:sz w:val="24"/>
          <w:szCs w:val="24"/>
          <w:lang w:val="en-US"/>
        </w:rPr>
        <w:t xml:space="preserve"> para as </w:t>
      </w:r>
      <w:proofErr w:type="spellStart"/>
      <w:r>
        <w:rPr>
          <w:rFonts w:ascii="Times New Roman" w:hAnsi="Times New Roman" w:cs="Times New Roman"/>
          <w:i/>
          <w:sz w:val="24"/>
          <w:szCs w:val="24"/>
          <w:lang w:val="en-US"/>
        </w:rPr>
        <w:t>Mulheres</w:t>
      </w:r>
      <w:proofErr w:type="spellEnd"/>
      <w:r>
        <w:rPr>
          <w:rFonts w:ascii="Times New Roman" w:hAnsi="Times New Roman" w:cs="Times New Roman"/>
          <w:sz w:val="24"/>
          <w:szCs w:val="24"/>
          <w:lang w:val="en-US"/>
        </w:rPr>
        <w:t>), which establishes links with actions implemented by almost all governmental agencies that impact on the lives of Brazilian women. Among actions under this Plan, there are several actions targeting the empowerment of women, conservation of traditional knowledge by women, and women in biodiversity conservation among small scale rural producers, traditional communities and indigenous peoples.</w:t>
      </w:r>
    </w:p>
    <w:p w:rsidR="00625722" w:rsidRDefault="00625722" w:rsidP="00625722">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For more details, please refer to section 1.2.4.</w:t>
      </w:r>
    </w:p>
    <w:p w:rsidR="00625722" w:rsidRDefault="00625722" w:rsidP="00625722">
      <w:pPr>
        <w:spacing w:before="120" w:after="120"/>
        <w:jc w:val="both"/>
        <w:rPr>
          <w:rFonts w:ascii="Times New Roman" w:hAnsi="Times New Roman" w:cs="Times New Roman"/>
          <w:sz w:val="24"/>
          <w:szCs w:val="24"/>
          <w:lang w:val="en-US"/>
        </w:rPr>
      </w:pPr>
    </w:p>
    <w:tbl>
      <w:tblPr>
        <w:tblStyle w:val="Tabelacomgrade"/>
        <w:tblW w:w="0" w:type="auto"/>
        <w:tblLook w:val="04A0" w:firstRow="1" w:lastRow="0" w:firstColumn="1" w:lastColumn="0" w:noHBand="0" w:noVBand="1"/>
      </w:tblPr>
      <w:tblGrid>
        <w:gridCol w:w="4322"/>
        <w:gridCol w:w="4322"/>
      </w:tblGrid>
      <w:tr w:rsidR="00625722" w:rsidRPr="00AE6C33" w:rsidTr="00290342">
        <w:tc>
          <w:tcPr>
            <w:tcW w:w="4322" w:type="dxa"/>
            <w:shd w:val="clear" w:color="auto" w:fill="C2D69B" w:themeFill="accent3" w:themeFillTint="99"/>
          </w:tcPr>
          <w:p w:rsidR="00625722" w:rsidRDefault="00625722" w:rsidP="00290342">
            <w:pPr>
              <w:spacing w:before="120" w:after="120"/>
              <w:jc w:val="both"/>
              <w:rPr>
                <w:rFonts w:ascii="Times New Roman" w:hAnsi="Times New Roman" w:cs="Times New Roman"/>
                <w:sz w:val="24"/>
                <w:szCs w:val="24"/>
                <w:lang w:val="en-US"/>
              </w:rPr>
            </w:pPr>
            <w:r w:rsidRPr="00452909">
              <w:rPr>
                <w:rFonts w:ascii="Times New Roman" w:hAnsi="Times New Roman" w:cs="Times New Roman"/>
                <w:b/>
                <w:lang w:val="en-US"/>
              </w:rPr>
              <w:t>National Target 19:</w:t>
            </w:r>
            <w:r w:rsidRPr="000A0C9F">
              <w:rPr>
                <w:rFonts w:ascii="Times New Roman" w:hAnsi="Times New Roman" w:cs="Times New Roman"/>
                <w:lang w:val="en-US"/>
              </w:rPr>
              <w:t xml:space="preserve"> By 2020, the science base and technologies necessary for enhancing knowledge on biodiversity, its values, functioning and trends, and the consequences of its loss, are improved and shared, and the sustainable use of biodiversity, as well as the generation of biodiversity-based technology and innovation are supported, duly transferred and applied. By 2017, the complete compilation of existing records on aquatic and terrestrial fauna, flora and microbiota is finalized and made available through permanent and open access databases, </w:t>
            </w:r>
            <w:r w:rsidRPr="000A0C9F">
              <w:rPr>
                <w:rFonts w:ascii="Times New Roman" w:hAnsi="Times New Roman" w:cs="Times New Roman"/>
                <w:lang w:val="en-US"/>
              </w:rPr>
              <w:lastRenderedPageBreak/>
              <w:t>with specificities safeguarded, with a view to identify knowledge gaps related to biomes and taxonomic groups.</w:t>
            </w:r>
          </w:p>
        </w:tc>
        <w:tc>
          <w:tcPr>
            <w:tcW w:w="4322" w:type="dxa"/>
            <w:vAlign w:val="center"/>
          </w:tcPr>
          <w:p w:rsidR="00625722" w:rsidRDefault="00625722" w:rsidP="00290342">
            <w:pPr>
              <w:spacing w:before="120" w:after="120"/>
              <w:jc w:val="center"/>
              <w:rPr>
                <w:rFonts w:ascii="Times New Roman" w:hAnsi="Times New Roman" w:cs="Times New Roman"/>
                <w:sz w:val="24"/>
                <w:szCs w:val="24"/>
                <w:lang w:val="en-US"/>
              </w:rPr>
            </w:pPr>
            <w:r>
              <w:rPr>
                <w:noProof/>
                <w:lang w:eastAsia="pt-BR"/>
              </w:rPr>
              <w:lastRenderedPageBreak/>
              <w:drawing>
                <wp:inline distT="0" distB="0" distL="0" distR="0" wp14:anchorId="650601D1" wp14:editId="328093DB">
                  <wp:extent cx="405517" cy="405517"/>
                  <wp:effectExtent l="0" t="0" r="0" b="0"/>
                  <wp:docPr id="90" name="Imagem 90" descr="circulo_na_metad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circulo_na_metade.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4812" cy="404812"/>
                          </a:xfrm>
                          <a:prstGeom prst="rect">
                            <a:avLst/>
                          </a:prstGeom>
                          <a:noFill/>
                          <a:ln>
                            <a:noFill/>
                          </a:ln>
                        </pic:spPr>
                      </pic:pic>
                    </a:graphicData>
                  </a:graphic>
                </wp:inline>
              </w:drawing>
            </w:r>
          </w:p>
        </w:tc>
      </w:tr>
      <w:tr w:rsidR="00625722" w:rsidRPr="00AE6C33" w:rsidTr="00290342">
        <w:tc>
          <w:tcPr>
            <w:tcW w:w="4322" w:type="dxa"/>
            <w:shd w:val="clear" w:color="auto" w:fill="EAF1DD" w:themeFill="accent3" w:themeFillTint="33"/>
          </w:tcPr>
          <w:p w:rsidR="00625722" w:rsidRPr="00B724CE" w:rsidRDefault="00625722" w:rsidP="00290342">
            <w:pPr>
              <w:spacing w:before="120" w:after="120"/>
              <w:jc w:val="both"/>
              <w:rPr>
                <w:rFonts w:ascii="Times New Roman" w:hAnsi="Times New Roman" w:cs="Times New Roman"/>
                <w:lang w:val="en-US"/>
              </w:rPr>
            </w:pPr>
            <w:r>
              <w:rPr>
                <w:rFonts w:ascii="Times New Roman" w:hAnsi="Times New Roman" w:cs="Times New Roman"/>
                <w:b/>
                <w:lang w:val="en-US"/>
              </w:rPr>
              <w:lastRenderedPageBreak/>
              <w:t xml:space="preserve">Aichi Global Target 19: </w:t>
            </w:r>
            <w:r w:rsidRPr="00D75547">
              <w:rPr>
                <w:rFonts w:ascii="Times New Roman" w:hAnsi="Times New Roman" w:cs="Times New Roman"/>
                <w:lang w:val="en-US"/>
              </w:rPr>
              <w:t>By 2020, knowledge, the science base and technologies relating to biodiversity, its values, functioning, status and trends, and the consequences of its loss, are improved, widely shared and transferred, and applied</w:t>
            </w:r>
            <w:r>
              <w:rPr>
                <w:rFonts w:ascii="Times New Roman" w:hAnsi="Times New Roman" w:cs="Times New Roman"/>
                <w:lang w:val="en-US"/>
              </w:rPr>
              <w:t>.</w:t>
            </w:r>
          </w:p>
        </w:tc>
        <w:tc>
          <w:tcPr>
            <w:tcW w:w="4322" w:type="dxa"/>
            <w:vAlign w:val="center"/>
          </w:tcPr>
          <w:p w:rsidR="00625722" w:rsidRPr="00B724CE" w:rsidRDefault="00625722" w:rsidP="00290342">
            <w:pPr>
              <w:spacing w:before="120" w:after="120"/>
              <w:jc w:val="center"/>
              <w:rPr>
                <w:noProof/>
                <w:sz w:val="18"/>
                <w:lang w:val="en-US" w:eastAsia="pt-BR"/>
              </w:rPr>
            </w:pPr>
            <w:r>
              <w:rPr>
                <w:noProof/>
                <w:lang w:eastAsia="pt-BR"/>
              </w:rPr>
              <w:drawing>
                <wp:inline distT="0" distB="0" distL="0" distR="0" wp14:anchorId="09B505BD" wp14:editId="00A9DA96">
                  <wp:extent cx="405517" cy="405517"/>
                  <wp:effectExtent l="0" t="0" r="0" b="0"/>
                  <wp:docPr id="91" name="Imagem 91" descr="circulo_na_metad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circulo_na_metade.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4812" cy="404812"/>
                          </a:xfrm>
                          <a:prstGeom prst="rect">
                            <a:avLst/>
                          </a:prstGeom>
                          <a:noFill/>
                          <a:ln>
                            <a:noFill/>
                          </a:ln>
                        </pic:spPr>
                      </pic:pic>
                    </a:graphicData>
                  </a:graphic>
                </wp:inline>
              </w:drawing>
            </w:r>
          </w:p>
        </w:tc>
      </w:tr>
    </w:tbl>
    <w:p w:rsidR="00625722" w:rsidRDefault="00625722" w:rsidP="00625722">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The Information System on Brazilian Biodiversity (</w:t>
      </w:r>
      <w:proofErr w:type="spellStart"/>
      <w:r>
        <w:rPr>
          <w:rFonts w:ascii="Times New Roman" w:hAnsi="Times New Roman" w:cs="Times New Roman"/>
          <w:sz w:val="24"/>
          <w:szCs w:val="24"/>
          <w:lang w:val="en-US"/>
        </w:rPr>
        <w:t>SiBBr</w:t>
      </w:r>
      <w:proofErr w:type="spellEnd"/>
      <w:r>
        <w:rPr>
          <w:rFonts w:ascii="Times New Roman" w:hAnsi="Times New Roman" w:cs="Times New Roman"/>
          <w:sz w:val="24"/>
          <w:szCs w:val="24"/>
          <w:lang w:val="en-US"/>
        </w:rPr>
        <w:t xml:space="preserve">, see section 1.2.2.1) is an initiative of the Ministry of Science Technology and Innovation (MCTI) to integrate information on Brazilian biodiversity and ecosystems, with the objective of supporting scientific research and public policies. The </w:t>
      </w:r>
      <w:proofErr w:type="spellStart"/>
      <w:r>
        <w:rPr>
          <w:rFonts w:ascii="Times New Roman" w:hAnsi="Times New Roman" w:cs="Times New Roman"/>
          <w:sz w:val="24"/>
          <w:szCs w:val="24"/>
          <w:lang w:val="en-US"/>
        </w:rPr>
        <w:t>SiBBr</w:t>
      </w:r>
      <w:proofErr w:type="spellEnd"/>
      <w:r>
        <w:rPr>
          <w:rFonts w:ascii="Times New Roman" w:hAnsi="Times New Roman" w:cs="Times New Roman"/>
          <w:sz w:val="24"/>
          <w:szCs w:val="24"/>
          <w:lang w:val="en-US"/>
        </w:rPr>
        <w:t xml:space="preserve"> is already available online, and the first set of scientific data is currently being uploaded. </w:t>
      </w:r>
    </w:p>
    <w:p w:rsidR="00625722" w:rsidRDefault="00625722" w:rsidP="00625722">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Additionally, various other programs implemented through the National Council for Scientific and Technological Development (</w:t>
      </w:r>
      <w:proofErr w:type="spellStart"/>
      <w:r>
        <w:rPr>
          <w:rFonts w:ascii="Times New Roman" w:hAnsi="Times New Roman" w:cs="Times New Roman"/>
          <w:sz w:val="24"/>
          <w:szCs w:val="24"/>
          <w:lang w:val="en-US"/>
        </w:rPr>
        <w:t>CNPq</w:t>
      </w:r>
      <w:proofErr w:type="spellEnd"/>
      <w:r>
        <w:rPr>
          <w:rFonts w:ascii="Times New Roman" w:hAnsi="Times New Roman" w:cs="Times New Roman"/>
          <w:sz w:val="24"/>
          <w:szCs w:val="24"/>
          <w:lang w:val="en-US"/>
        </w:rPr>
        <w:t>) also contribute toward the achievement of this target: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the Long Term Ecological Research Program – PELD; (ii) National System of Research on Biodiversity – SISBIOTA </w:t>
      </w:r>
      <w:proofErr w:type="spellStart"/>
      <w:r>
        <w:rPr>
          <w:rFonts w:ascii="Times New Roman" w:hAnsi="Times New Roman" w:cs="Times New Roman"/>
          <w:sz w:val="24"/>
          <w:szCs w:val="24"/>
          <w:lang w:val="en-US"/>
        </w:rPr>
        <w:t>Brasil</w:t>
      </w:r>
      <w:proofErr w:type="spellEnd"/>
      <w:r>
        <w:rPr>
          <w:rFonts w:ascii="Times New Roman" w:hAnsi="Times New Roman" w:cs="Times New Roman"/>
          <w:sz w:val="24"/>
          <w:szCs w:val="24"/>
          <w:lang w:val="en-US"/>
        </w:rPr>
        <w:t xml:space="preserve">; (iii) the Legal Amazon Network on Biotechnology and Biodiversity – BIONORTE; (iv) Taxonomy Capacity Building Program – PROTAX; (v) Brazilian Plants: Historical Recovery and Virtual Herbarium for Brazilian Flora Knowledge and Conservation; (vi) Biodiversity Research Program – PPBIO; (vii) Center-West Network of Post-Graduation, Research and Innovation – </w:t>
      </w:r>
      <w:proofErr w:type="spellStart"/>
      <w:r>
        <w:rPr>
          <w:rFonts w:ascii="Times New Roman" w:hAnsi="Times New Roman" w:cs="Times New Roman"/>
          <w:sz w:val="24"/>
          <w:szCs w:val="24"/>
          <w:lang w:val="en-US"/>
        </w:rPr>
        <w:t>Rede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Pró</w:t>
      </w:r>
      <w:proofErr w:type="spellEnd"/>
      <w:r>
        <w:rPr>
          <w:rFonts w:ascii="Times New Roman" w:hAnsi="Times New Roman" w:cs="Times New Roman"/>
          <w:sz w:val="24"/>
          <w:szCs w:val="24"/>
          <w:lang w:val="en-US"/>
        </w:rPr>
        <w:t>-Centro-</w:t>
      </w:r>
      <w:proofErr w:type="spellStart"/>
      <w:r>
        <w:rPr>
          <w:rFonts w:ascii="Times New Roman" w:hAnsi="Times New Roman" w:cs="Times New Roman"/>
          <w:sz w:val="24"/>
          <w:szCs w:val="24"/>
          <w:lang w:val="en-US"/>
        </w:rPr>
        <w:t>Oeste</w:t>
      </w:r>
      <w:proofErr w:type="spellEnd"/>
      <w:r>
        <w:rPr>
          <w:rFonts w:ascii="Times New Roman" w:hAnsi="Times New Roman" w:cs="Times New Roman"/>
          <w:sz w:val="24"/>
          <w:szCs w:val="24"/>
          <w:lang w:val="en-US"/>
        </w:rPr>
        <w:t xml:space="preserve">; (viii) Archipelago and Oceanic Islands Program; and (ix) Brazilian Antarctic Program – PROANTAR. </w:t>
      </w:r>
    </w:p>
    <w:p w:rsidR="00625722" w:rsidRDefault="00625722" w:rsidP="00625722">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On the 2014 International Day for Biological Diversity (22 May) the Ministry of the Environment announced agreements with the Ministry of Science Technology and Innovation for: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inserting the threatened species theme into the MCTI’s permanent biodiversity research programs such as the Biodiversity Research Program – </w:t>
      </w:r>
      <w:proofErr w:type="spellStart"/>
      <w:r>
        <w:rPr>
          <w:rFonts w:ascii="Times New Roman" w:hAnsi="Times New Roman" w:cs="Times New Roman"/>
          <w:sz w:val="24"/>
          <w:szCs w:val="24"/>
          <w:lang w:val="en-US"/>
        </w:rPr>
        <w:t>PPBio</w:t>
      </w:r>
      <w:proofErr w:type="spellEnd"/>
      <w:r>
        <w:rPr>
          <w:rFonts w:ascii="Times New Roman" w:hAnsi="Times New Roman" w:cs="Times New Roman"/>
          <w:sz w:val="24"/>
          <w:szCs w:val="24"/>
          <w:lang w:val="en-US"/>
        </w:rPr>
        <w:t>; (ii) launching a call for proposals to support research on threatened species; and (iii) development of information technology tools to assess the risk of extinction, organize databases on threatened species, and to support action plans.</w:t>
      </w:r>
    </w:p>
    <w:p w:rsidR="00625722" w:rsidRDefault="00625722" w:rsidP="00625722">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Other federal and state institutions also implement numerous important initiatives and programs relevant for this target. A few examples are: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the Oswaldo Cruz Foundation – FIOCRUZ maintains biological and germplasm collections (microbes, animal species, and </w:t>
      </w:r>
      <w:proofErr w:type="spellStart"/>
      <w:r>
        <w:rPr>
          <w:rFonts w:ascii="Times New Roman" w:hAnsi="Times New Roman" w:cs="Times New Roman"/>
          <w:sz w:val="24"/>
          <w:szCs w:val="24"/>
          <w:lang w:val="en-US"/>
        </w:rPr>
        <w:t>histopathological</w:t>
      </w:r>
      <w:proofErr w:type="spellEnd"/>
      <w:r>
        <w:rPr>
          <w:rFonts w:ascii="Times New Roman" w:hAnsi="Times New Roman" w:cs="Times New Roman"/>
          <w:sz w:val="24"/>
          <w:szCs w:val="24"/>
          <w:lang w:val="en-US"/>
        </w:rPr>
        <w:t xml:space="preserve"> samples); (ii) FIOCRUZ Minas </w:t>
      </w:r>
      <w:proofErr w:type="spellStart"/>
      <w:r>
        <w:rPr>
          <w:rFonts w:ascii="Times New Roman" w:hAnsi="Times New Roman" w:cs="Times New Roman"/>
          <w:sz w:val="24"/>
          <w:szCs w:val="24"/>
          <w:lang w:val="en-US"/>
        </w:rPr>
        <w:t>Gerais</w:t>
      </w:r>
      <w:proofErr w:type="spellEnd"/>
      <w:r>
        <w:rPr>
          <w:rFonts w:ascii="Times New Roman" w:hAnsi="Times New Roman" w:cs="Times New Roman"/>
          <w:sz w:val="24"/>
          <w:szCs w:val="24"/>
          <w:lang w:val="en-US"/>
        </w:rPr>
        <w:t xml:space="preserve"> is structuring a database on the genetic bar code of parasite of medical and veterinary interest (livestock and wildlife); (iii) the Emilio </w:t>
      </w:r>
      <w:proofErr w:type="spellStart"/>
      <w:r>
        <w:rPr>
          <w:rFonts w:ascii="Times New Roman" w:hAnsi="Times New Roman" w:cs="Times New Roman"/>
          <w:sz w:val="24"/>
          <w:szCs w:val="24"/>
          <w:lang w:val="en-US"/>
        </w:rPr>
        <w:t>Goeldi</w:t>
      </w:r>
      <w:proofErr w:type="spellEnd"/>
      <w:r>
        <w:rPr>
          <w:rFonts w:ascii="Times New Roman" w:hAnsi="Times New Roman" w:cs="Times New Roman"/>
          <w:sz w:val="24"/>
          <w:szCs w:val="24"/>
          <w:lang w:val="en-US"/>
        </w:rPr>
        <w:t xml:space="preserve"> Museum is developing the SINBIO System and the Biodiversity Census Database, to make available information on biological inventories and Amazon biodiversity; (iv) EMBRAPA CENARGEN maintains the Network of Animal, Plant and Microbial Genetic Resources; the </w:t>
      </w:r>
      <w:proofErr w:type="spellStart"/>
      <w:r>
        <w:rPr>
          <w:rFonts w:ascii="Times New Roman" w:hAnsi="Times New Roman" w:cs="Times New Roman"/>
          <w:sz w:val="24"/>
          <w:szCs w:val="24"/>
          <w:lang w:val="en-US"/>
        </w:rPr>
        <w:t>Alelo</w:t>
      </w:r>
      <w:proofErr w:type="spellEnd"/>
      <w:r>
        <w:rPr>
          <w:rFonts w:ascii="Times New Roman" w:hAnsi="Times New Roman" w:cs="Times New Roman"/>
          <w:sz w:val="24"/>
          <w:szCs w:val="24"/>
          <w:lang w:val="en-US"/>
        </w:rPr>
        <w:t xml:space="preserve"> System; and numerous research projects that contribute to the sustainable use of biodiversity and genetic resources; and (v) FAPESP implements since 1999 the Research Program for the Characterization, Conservation, Restoration and Sustainable Use of São Paulo Biodiversity – Biota-FAPESP, and maintains the Environmental Information System – </w:t>
      </w:r>
      <w:proofErr w:type="spellStart"/>
      <w:r>
        <w:rPr>
          <w:rFonts w:ascii="Times New Roman" w:hAnsi="Times New Roman" w:cs="Times New Roman"/>
          <w:sz w:val="24"/>
          <w:szCs w:val="24"/>
          <w:lang w:val="en-US"/>
        </w:rPr>
        <w:t>SinBiota</w:t>
      </w:r>
      <w:proofErr w:type="spellEnd"/>
      <w:r>
        <w:rPr>
          <w:rFonts w:ascii="Times New Roman" w:hAnsi="Times New Roman" w:cs="Times New Roman"/>
          <w:sz w:val="24"/>
          <w:szCs w:val="24"/>
          <w:lang w:val="en-US"/>
        </w:rPr>
        <w:t xml:space="preserve">. </w:t>
      </w:r>
    </w:p>
    <w:p w:rsidR="00625722" w:rsidRDefault="00625722" w:rsidP="00625722">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For more details, see section 1.2.2.1 and the 4</w:t>
      </w:r>
      <w:r w:rsidRPr="00C15840">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National Report to the CBD.</w:t>
      </w:r>
    </w:p>
    <w:p w:rsidR="00625722" w:rsidRDefault="00625722" w:rsidP="00625722">
      <w:pPr>
        <w:spacing w:before="120" w:after="120"/>
        <w:jc w:val="both"/>
        <w:rPr>
          <w:rFonts w:ascii="Times New Roman" w:hAnsi="Times New Roman" w:cs="Times New Roman"/>
          <w:sz w:val="24"/>
          <w:szCs w:val="24"/>
          <w:lang w:val="en-US"/>
        </w:rPr>
      </w:pPr>
    </w:p>
    <w:tbl>
      <w:tblPr>
        <w:tblStyle w:val="Tabelacomgrade"/>
        <w:tblW w:w="0" w:type="auto"/>
        <w:tblLook w:val="04A0" w:firstRow="1" w:lastRow="0" w:firstColumn="1" w:lastColumn="0" w:noHBand="0" w:noVBand="1"/>
      </w:tblPr>
      <w:tblGrid>
        <w:gridCol w:w="4322"/>
        <w:gridCol w:w="4322"/>
      </w:tblGrid>
      <w:tr w:rsidR="00625722" w:rsidRPr="00AE6C33" w:rsidTr="00290342">
        <w:tc>
          <w:tcPr>
            <w:tcW w:w="4322" w:type="dxa"/>
            <w:shd w:val="clear" w:color="auto" w:fill="C2D69B" w:themeFill="accent3" w:themeFillTint="99"/>
          </w:tcPr>
          <w:p w:rsidR="00625722" w:rsidRDefault="00625722" w:rsidP="00290342">
            <w:pPr>
              <w:spacing w:before="120" w:after="120"/>
              <w:jc w:val="both"/>
              <w:rPr>
                <w:rFonts w:ascii="Times New Roman" w:hAnsi="Times New Roman" w:cs="Times New Roman"/>
                <w:sz w:val="24"/>
                <w:szCs w:val="24"/>
                <w:lang w:val="en-US"/>
              </w:rPr>
            </w:pPr>
            <w:r w:rsidRPr="00452909">
              <w:rPr>
                <w:rFonts w:ascii="Times New Roman" w:hAnsi="Times New Roman" w:cs="Times New Roman"/>
                <w:b/>
                <w:lang w:val="en-US"/>
              </w:rPr>
              <w:lastRenderedPageBreak/>
              <w:t>National Target 20:</w:t>
            </w:r>
            <w:r w:rsidRPr="000A0C9F">
              <w:rPr>
                <w:rFonts w:ascii="Times New Roman" w:hAnsi="Times New Roman" w:cs="Times New Roman"/>
                <w:lang w:val="en-US"/>
              </w:rPr>
              <w:t xml:space="preserve"> Immediately following the approval of the Brazilian targets, resources needs assessments are carried out for the implementation of national targets, followed by the mobilization and allocation of financial resources to enable, from 2015 on, the implementation and monitoring of the Strategic Plan for Biodiversity 2011-2020, as well as the achievement of its targets.</w:t>
            </w:r>
          </w:p>
        </w:tc>
        <w:tc>
          <w:tcPr>
            <w:tcW w:w="4322" w:type="dxa"/>
            <w:vAlign w:val="center"/>
          </w:tcPr>
          <w:p w:rsidR="00625722" w:rsidRDefault="00625722" w:rsidP="00290342">
            <w:pPr>
              <w:spacing w:before="120" w:after="120"/>
              <w:jc w:val="center"/>
              <w:rPr>
                <w:rFonts w:ascii="Times New Roman" w:hAnsi="Times New Roman" w:cs="Times New Roman"/>
                <w:sz w:val="24"/>
                <w:szCs w:val="24"/>
                <w:lang w:val="en-US"/>
              </w:rPr>
            </w:pPr>
            <w:r>
              <w:rPr>
                <w:noProof/>
                <w:sz w:val="18"/>
                <w:lang w:eastAsia="pt-BR"/>
              </w:rPr>
              <w:drawing>
                <wp:inline distT="0" distB="0" distL="0" distR="0" wp14:anchorId="0F336571" wp14:editId="41C75554">
                  <wp:extent cx="405517" cy="405517"/>
                  <wp:effectExtent l="0" t="0" r="0" b="0"/>
                  <wp:docPr id="92" name="Imagem 92" descr="redfourthgre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dfourthgreen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5586" cy="405586"/>
                          </a:xfrm>
                          <a:prstGeom prst="rect">
                            <a:avLst/>
                          </a:prstGeom>
                          <a:noFill/>
                          <a:ln>
                            <a:noFill/>
                          </a:ln>
                        </pic:spPr>
                      </pic:pic>
                    </a:graphicData>
                  </a:graphic>
                </wp:inline>
              </w:drawing>
            </w:r>
          </w:p>
        </w:tc>
      </w:tr>
      <w:tr w:rsidR="00625722" w:rsidRPr="00AE6C33" w:rsidTr="00290342">
        <w:tc>
          <w:tcPr>
            <w:tcW w:w="4322" w:type="dxa"/>
            <w:shd w:val="clear" w:color="auto" w:fill="EAF1DD" w:themeFill="accent3" w:themeFillTint="33"/>
          </w:tcPr>
          <w:p w:rsidR="00625722" w:rsidRPr="00B724CE" w:rsidRDefault="00625722" w:rsidP="00290342">
            <w:pPr>
              <w:spacing w:before="120" w:after="120"/>
              <w:jc w:val="both"/>
              <w:rPr>
                <w:rFonts w:ascii="Times New Roman" w:hAnsi="Times New Roman" w:cs="Times New Roman"/>
                <w:lang w:val="en-US"/>
              </w:rPr>
            </w:pPr>
            <w:r>
              <w:rPr>
                <w:rFonts w:ascii="Times New Roman" w:hAnsi="Times New Roman" w:cs="Times New Roman"/>
                <w:b/>
                <w:lang w:val="en-US"/>
              </w:rPr>
              <w:t xml:space="preserve">Aichi Global Target 20: </w:t>
            </w:r>
            <w:r w:rsidRPr="00B252F7">
              <w:rPr>
                <w:rFonts w:ascii="Times New Roman" w:hAnsi="Times New Roman" w:cs="Times New Roman"/>
                <w:lang w:val="en-US"/>
              </w:rPr>
              <w:t xml:space="preserve">By 2020, at the latest, the mobilization of financial resources for effectively implementing the Strategic Plan for Biodiversity 2011-2020 from all sources, and in accordance with the consolidated and agreed process in the Strategy for Resource </w:t>
            </w:r>
            <w:proofErr w:type="gramStart"/>
            <w:r w:rsidRPr="00B252F7">
              <w:rPr>
                <w:rFonts w:ascii="Times New Roman" w:hAnsi="Times New Roman" w:cs="Times New Roman"/>
                <w:lang w:val="en-US"/>
              </w:rPr>
              <w:t>Mobilization,</w:t>
            </w:r>
            <w:proofErr w:type="gramEnd"/>
            <w:r w:rsidRPr="00B252F7">
              <w:rPr>
                <w:rFonts w:ascii="Times New Roman" w:hAnsi="Times New Roman" w:cs="Times New Roman"/>
                <w:lang w:val="en-US"/>
              </w:rPr>
              <w:t xml:space="preserve"> should increase substantially from the current levels. This target will be subject to changes contingent to resource needs assessments to be developed and reported by Parties</w:t>
            </w:r>
            <w:r>
              <w:rPr>
                <w:rFonts w:ascii="Times New Roman" w:hAnsi="Times New Roman" w:cs="Times New Roman"/>
                <w:lang w:val="en-US"/>
              </w:rPr>
              <w:t>.</w:t>
            </w:r>
          </w:p>
        </w:tc>
        <w:tc>
          <w:tcPr>
            <w:tcW w:w="4322" w:type="dxa"/>
            <w:vAlign w:val="center"/>
          </w:tcPr>
          <w:p w:rsidR="00625722" w:rsidRPr="00B724CE" w:rsidRDefault="00625722" w:rsidP="00290342">
            <w:pPr>
              <w:spacing w:before="120" w:after="120"/>
              <w:jc w:val="center"/>
              <w:rPr>
                <w:noProof/>
                <w:sz w:val="18"/>
                <w:lang w:val="en-US" w:eastAsia="pt-BR"/>
              </w:rPr>
            </w:pPr>
            <w:r>
              <w:rPr>
                <w:noProof/>
                <w:sz w:val="18"/>
                <w:lang w:eastAsia="pt-BR"/>
              </w:rPr>
              <w:drawing>
                <wp:inline distT="0" distB="0" distL="0" distR="0" wp14:anchorId="17213C1E" wp14:editId="710BF66E">
                  <wp:extent cx="405517" cy="405517"/>
                  <wp:effectExtent l="0" t="0" r="0" b="0"/>
                  <wp:docPr id="93" name="Imagem 93" descr="redfourthgre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dfourthgreen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5586" cy="405586"/>
                          </a:xfrm>
                          <a:prstGeom prst="rect">
                            <a:avLst/>
                          </a:prstGeom>
                          <a:noFill/>
                          <a:ln>
                            <a:noFill/>
                          </a:ln>
                        </pic:spPr>
                      </pic:pic>
                    </a:graphicData>
                  </a:graphic>
                </wp:inline>
              </w:drawing>
            </w:r>
          </w:p>
        </w:tc>
      </w:tr>
    </w:tbl>
    <w:p w:rsidR="00625722" w:rsidRDefault="00625722" w:rsidP="00625722">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A national strategy for the mobilization of resources and for meeting capacity needs is currently being designed. The Ministry of the Environment is in the process of hiring consultants to assist in the preparation of this strategy and provide an assessment of existing capacity at the state and federal levels to support strategy development. Results from these contracts should be available by mid-2015 and will be incorporated into the updated NBSAP. The Ministry of the Environment is also currently negotiating with the Institute of Applied Economic Research – IPEA the national mapping of resources invested in biodiversity (see section 2.1.5).</w:t>
      </w:r>
    </w:p>
    <w:p w:rsidR="00625722" w:rsidRDefault="00625722" w:rsidP="00625722">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Financial resources continue to be obtained from the GEF and other international sources to support projects related to the implementation of the National and Aichi Targets, either directly or through environmental funds (e.g. Amazon Fund; National Biodiversity Fund – FUNBIO, Amazon Protected Areas Fund – FAP, among others). Nevertheless, additional resources will be required in order to achieve this target.</w:t>
      </w:r>
    </w:p>
    <w:p w:rsidR="00625722" w:rsidRPr="00B252F7" w:rsidRDefault="00625722" w:rsidP="00625722">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Additionally, Brazil hosted two international events in April 2014 on resource mobilization: a capacity building workshop and a meeting of the </w:t>
      </w:r>
      <w:r w:rsidRPr="00525B26">
        <w:rPr>
          <w:rFonts w:ascii="Times New Roman" w:hAnsi="Times New Roman" w:cs="Times New Roman"/>
          <w:sz w:val="24"/>
          <w:szCs w:val="24"/>
          <w:lang w:val="en-US"/>
        </w:rPr>
        <w:t>High-Level Panel on Global Assessment of Resources for Implementing the Strategic Plan for Biodiversity</w:t>
      </w:r>
      <w:r>
        <w:rPr>
          <w:rFonts w:ascii="Times New Roman" w:hAnsi="Times New Roman" w:cs="Times New Roman"/>
          <w:sz w:val="24"/>
          <w:szCs w:val="24"/>
          <w:lang w:val="en-US"/>
        </w:rPr>
        <w:t xml:space="preserve"> 2011-2020 (see section 2.2.3).</w:t>
      </w:r>
    </w:p>
    <w:p w:rsidR="00625722" w:rsidRDefault="00625722" w:rsidP="00625722">
      <w:pPr>
        <w:spacing w:before="120" w:after="120"/>
        <w:jc w:val="both"/>
        <w:rPr>
          <w:lang w:val="en-US"/>
        </w:rPr>
      </w:pPr>
    </w:p>
    <w:p w:rsidR="00625722" w:rsidRPr="00625722" w:rsidRDefault="00625722" w:rsidP="00625722">
      <w:pPr>
        <w:spacing w:before="120" w:after="120"/>
        <w:jc w:val="both"/>
        <w:rPr>
          <w:rFonts w:ascii="Times New Roman" w:hAnsi="Times New Roman" w:cs="Times New Roman"/>
          <w:b/>
          <w:sz w:val="28"/>
          <w:szCs w:val="28"/>
          <w:lang w:val="en-US"/>
        </w:rPr>
      </w:pPr>
      <w:bookmarkStart w:id="2" w:name="_Toc392683429"/>
      <w:r>
        <w:rPr>
          <w:rFonts w:ascii="Times New Roman" w:hAnsi="Times New Roman" w:cs="Times New Roman"/>
          <w:b/>
          <w:sz w:val="28"/>
          <w:szCs w:val="28"/>
          <w:lang w:val="en-US"/>
        </w:rPr>
        <w:t xml:space="preserve">3.2. </w:t>
      </w:r>
      <w:r w:rsidRPr="00625722">
        <w:rPr>
          <w:rFonts w:ascii="Times New Roman" w:hAnsi="Times New Roman" w:cs="Times New Roman"/>
          <w:b/>
          <w:sz w:val="28"/>
          <w:szCs w:val="28"/>
          <w:lang w:val="en-US"/>
        </w:rPr>
        <w:t>Progress toward the Millennium Development Goals</w:t>
      </w:r>
      <w:bookmarkEnd w:id="2"/>
    </w:p>
    <w:p w:rsidR="00625722" w:rsidRDefault="00625722" w:rsidP="00625722">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Based on the data gathered in this report, a preliminary assessment is presented below on how national actions taken to implement CBD in Brazil are contributing to progress towards the relevant 2015 Targets of the Millennium Development Goals.</w:t>
      </w:r>
    </w:p>
    <w:p w:rsidR="00625722" w:rsidRDefault="00625722" w:rsidP="00625722">
      <w:pPr>
        <w:spacing w:before="120" w:after="120"/>
        <w:jc w:val="both"/>
        <w:rPr>
          <w:rFonts w:ascii="Times New Roman" w:hAnsi="Times New Roman" w:cs="Times New Roman"/>
          <w:b/>
          <w:sz w:val="24"/>
          <w:szCs w:val="24"/>
          <w:lang w:val="en-US"/>
        </w:rPr>
      </w:pPr>
    </w:p>
    <w:p w:rsidR="00625722" w:rsidRPr="0008343A" w:rsidRDefault="00625722" w:rsidP="00625722">
      <w:pPr>
        <w:spacing w:before="120" w:after="120"/>
        <w:jc w:val="both"/>
        <w:rPr>
          <w:rFonts w:ascii="Times New Roman" w:hAnsi="Times New Roman" w:cs="Times New Roman"/>
          <w:b/>
          <w:sz w:val="24"/>
          <w:szCs w:val="24"/>
          <w:lang w:val="en-US"/>
        </w:rPr>
      </w:pPr>
      <w:r w:rsidRPr="0008343A">
        <w:rPr>
          <w:rFonts w:ascii="Times New Roman" w:hAnsi="Times New Roman" w:cs="Times New Roman"/>
          <w:b/>
          <w:sz w:val="24"/>
          <w:szCs w:val="24"/>
          <w:lang w:val="en-US"/>
        </w:rPr>
        <w:t>MDG 1 – Eradicate extreme poverty and hunger</w:t>
      </w:r>
    </w:p>
    <w:p w:rsidR="00625722" w:rsidRDefault="00625722" w:rsidP="00625722">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poor and extreme poor are the primary beneficiaries of the numerous policies, programs and initiatives developed and implemented with the objective of promoting </w:t>
      </w:r>
      <w:r>
        <w:rPr>
          <w:rFonts w:ascii="Times New Roman" w:hAnsi="Times New Roman" w:cs="Times New Roman"/>
          <w:sz w:val="24"/>
          <w:szCs w:val="24"/>
          <w:lang w:val="en-US"/>
        </w:rPr>
        <w:lastRenderedPageBreak/>
        <w:t>sustainable extractive and agricultural production, promoting economic value chains of products from socio-biodiversity, and supporting the sustainable development of indigenous peoples and traditional communities. These actions are therefore also contributing to all three 2015 targets under MDG 1, as they contribute to strengthening social organization, empowerment of traditional and indigenous communities, enhance food security and life quality, and contribute to the formalization of commercialization of socio-biodiversity products, also promoting the rupture of economic exploitation and monopoly relations practiced by local buyers and middle-men.</w:t>
      </w:r>
    </w:p>
    <w:p w:rsidR="00625722" w:rsidRDefault="00625722" w:rsidP="00625722">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Please refer to sections 1.2.1.2, 1.2.3.3, 1.2.4, 1.4.1.1 and 1.4.7, as well as National Targets 2, 16 and 18 in section 3.1 for information on these actions.</w:t>
      </w:r>
    </w:p>
    <w:p w:rsidR="00625722" w:rsidRDefault="00625722" w:rsidP="00625722">
      <w:pPr>
        <w:spacing w:before="120" w:after="120"/>
        <w:jc w:val="both"/>
        <w:rPr>
          <w:rFonts w:ascii="Times New Roman" w:hAnsi="Times New Roman" w:cs="Times New Roman"/>
          <w:sz w:val="24"/>
          <w:szCs w:val="24"/>
          <w:lang w:val="en-US"/>
        </w:rPr>
      </w:pPr>
    </w:p>
    <w:p w:rsidR="00625722" w:rsidRPr="00CE7B1C" w:rsidRDefault="00625722" w:rsidP="00625722">
      <w:pPr>
        <w:spacing w:before="120" w:after="120"/>
        <w:jc w:val="both"/>
        <w:rPr>
          <w:rFonts w:ascii="Times New Roman" w:hAnsi="Times New Roman" w:cs="Times New Roman"/>
          <w:b/>
          <w:sz w:val="24"/>
          <w:szCs w:val="24"/>
          <w:lang w:val="en-US"/>
        </w:rPr>
      </w:pPr>
      <w:r w:rsidRPr="00CE7B1C">
        <w:rPr>
          <w:rFonts w:ascii="Times New Roman" w:hAnsi="Times New Roman" w:cs="Times New Roman"/>
          <w:b/>
          <w:sz w:val="24"/>
          <w:szCs w:val="24"/>
          <w:lang w:val="en-US"/>
        </w:rPr>
        <w:t>MDG 6 – Combat HIV/AIDS, Malaria and other diseases</w:t>
      </w:r>
    </w:p>
    <w:p w:rsidR="00625722" w:rsidRDefault="00625722" w:rsidP="00625722">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Brazilian mega-biodiversity has been for millennia the source of traditional medicines, the use of which has been largely preserved by the over 200 indigenous peoples in the country. </w:t>
      </w:r>
      <w:proofErr w:type="spellStart"/>
      <w:r>
        <w:rPr>
          <w:rFonts w:ascii="Times New Roman" w:hAnsi="Times New Roman" w:cs="Times New Roman"/>
          <w:sz w:val="24"/>
          <w:szCs w:val="24"/>
          <w:lang w:val="en-US"/>
        </w:rPr>
        <w:t>Non traditional</w:t>
      </w:r>
      <w:proofErr w:type="spellEnd"/>
      <w:r>
        <w:rPr>
          <w:rFonts w:ascii="Times New Roman" w:hAnsi="Times New Roman" w:cs="Times New Roman"/>
          <w:sz w:val="24"/>
          <w:szCs w:val="24"/>
          <w:lang w:val="en-US"/>
        </w:rPr>
        <w:t xml:space="preserve"> pharmaceutical companies and health research have long tapped these resources for the development of new drugs, vaccines and diagnosis kits, for example. Brazilian initiatives to increase knowledge on biodiversity and develop biodiversity-based technology, as well as to record traditional biodiversity-related knowledge and practices, all contribute to this MDG by identifying new opportunities for health research and treatments. Examples of such initiatives are listed in sections 1.2.2.1, 1.2.3.2, 1.2.3.4, 1.2.4, and 1.4.7, among others.</w:t>
      </w:r>
    </w:p>
    <w:p w:rsidR="00625722" w:rsidRDefault="00625722" w:rsidP="00625722">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Additionally, the results of one of the research lines pursued by the Oswaldo Cruz Foundation – FIOCRUZ</w:t>
      </w:r>
      <w:r>
        <w:rPr>
          <w:rStyle w:val="Refdenotaderodap"/>
          <w:rFonts w:ascii="Times New Roman" w:hAnsi="Times New Roman" w:cs="Times New Roman"/>
          <w:szCs w:val="24"/>
          <w:lang w:val="en-US"/>
        </w:rPr>
        <w:footnoteReference w:id="18"/>
      </w:r>
      <w:r>
        <w:rPr>
          <w:rFonts w:ascii="Times New Roman" w:hAnsi="Times New Roman" w:cs="Times New Roman"/>
          <w:sz w:val="24"/>
          <w:szCs w:val="24"/>
          <w:lang w:val="en-US"/>
        </w:rPr>
        <w:t xml:space="preserve"> strengthen evidence that habitat disturbance by human activities trigger complex direct and indirect relations between human health and biodiversity: ecosystem degradation and fragmentation lead to a rupture of local ecological balance and natural wildlife movements and cycles, and increase human pressure, thus increasing the </w:t>
      </w:r>
      <w:proofErr w:type="spellStart"/>
      <w:r>
        <w:rPr>
          <w:rFonts w:ascii="Times New Roman" w:hAnsi="Times New Roman" w:cs="Times New Roman"/>
          <w:sz w:val="24"/>
          <w:szCs w:val="24"/>
          <w:lang w:val="en-US"/>
        </w:rPr>
        <w:t>intensityand</w:t>
      </w:r>
      <w:proofErr w:type="spellEnd"/>
      <w:r>
        <w:rPr>
          <w:rFonts w:ascii="Times New Roman" w:hAnsi="Times New Roman" w:cs="Times New Roman"/>
          <w:sz w:val="24"/>
          <w:szCs w:val="24"/>
          <w:lang w:val="en-US"/>
        </w:rPr>
        <w:t xml:space="preserve"> frequency of contacts between humans and wildlife, particularly wildlife that is seeking to re-establish of replace normal life cycles. As many vectors and pathogens of human diseases also interact or infect wildlife, these interactions can increase disease emergence and transmission both ways: from wildlife to humans and from humans to wildlife. National actions related to CBD implementation that seek to promote ecosystem restoration, reduce deforestation, and promote sustainable biodiversity use (see sections 1.2.1.2, 1.2.4.3, 1.4.3, and 1.4.4, among others) ultimately contribute to enhance ecosystem balance and seek to reconcile human activities and biodiversity conservation.</w:t>
      </w:r>
    </w:p>
    <w:p w:rsidR="00625722" w:rsidRDefault="00625722" w:rsidP="00625722">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Nevertheless, practical action focusing on the relationships between health and biodiversity is still very limited. Future progress toward the adoption and implementation of the Nagoya Protocol, for example, may contribute to bring forward the importance of national sovereignty over biodiversity, including pathogens that are the basis for biotechnological development in health and consequent financial and non-financial benefits to the country.</w:t>
      </w:r>
    </w:p>
    <w:p w:rsidR="00625722" w:rsidRDefault="00625722" w:rsidP="00625722">
      <w:pPr>
        <w:spacing w:before="120" w:after="120"/>
        <w:jc w:val="both"/>
        <w:rPr>
          <w:rFonts w:ascii="Times New Roman" w:hAnsi="Times New Roman" w:cs="Times New Roman"/>
          <w:sz w:val="24"/>
          <w:szCs w:val="24"/>
          <w:lang w:val="en-US"/>
        </w:rPr>
      </w:pPr>
    </w:p>
    <w:p w:rsidR="002E4D94" w:rsidRDefault="002E4D94" w:rsidP="00625722">
      <w:pPr>
        <w:spacing w:before="120" w:after="120"/>
        <w:jc w:val="both"/>
        <w:rPr>
          <w:rFonts w:ascii="Times New Roman" w:hAnsi="Times New Roman" w:cs="Times New Roman"/>
          <w:sz w:val="24"/>
          <w:szCs w:val="24"/>
          <w:lang w:val="en-US"/>
        </w:rPr>
      </w:pPr>
    </w:p>
    <w:p w:rsidR="002E4D94" w:rsidRDefault="002E4D94" w:rsidP="00625722">
      <w:pPr>
        <w:spacing w:before="120" w:after="120"/>
        <w:jc w:val="both"/>
        <w:rPr>
          <w:rFonts w:ascii="Times New Roman" w:hAnsi="Times New Roman" w:cs="Times New Roman"/>
          <w:sz w:val="24"/>
          <w:szCs w:val="24"/>
          <w:lang w:val="en-US"/>
        </w:rPr>
      </w:pPr>
    </w:p>
    <w:p w:rsidR="00625722" w:rsidRPr="006B60E2" w:rsidRDefault="00625722" w:rsidP="00625722">
      <w:pPr>
        <w:spacing w:before="120" w:after="120"/>
        <w:jc w:val="both"/>
        <w:rPr>
          <w:rFonts w:ascii="Times New Roman" w:hAnsi="Times New Roman" w:cs="Times New Roman"/>
          <w:b/>
          <w:sz w:val="24"/>
          <w:szCs w:val="24"/>
          <w:lang w:val="en-US"/>
        </w:rPr>
      </w:pPr>
      <w:r w:rsidRPr="006B60E2">
        <w:rPr>
          <w:rFonts w:ascii="Times New Roman" w:hAnsi="Times New Roman" w:cs="Times New Roman"/>
          <w:b/>
          <w:sz w:val="24"/>
          <w:szCs w:val="24"/>
          <w:lang w:val="en-US"/>
        </w:rPr>
        <w:lastRenderedPageBreak/>
        <w:t>MDG 7 – Ensure environmental sustainability</w:t>
      </w:r>
    </w:p>
    <w:p w:rsidR="00625722" w:rsidRDefault="00625722" w:rsidP="00625722">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All actions, policies, programs and initiatives mentioned in this Report contribute significantly to targets A and B under MDG 7 (see all sections of the Report). Some contribute moderately to targets C and D under MDG 7 (see sections 1.3.7, 1.4.3.1), which is strongly supported by governmental investments in sanitation that have been ongoing for the past four years.</w:t>
      </w:r>
    </w:p>
    <w:p w:rsidR="00625722" w:rsidRDefault="00625722" w:rsidP="00625722">
      <w:pPr>
        <w:spacing w:before="120" w:after="120"/>
        <w:jc w:val="both"/>
        <w:rPr>
          <w:lang w:val="en-US"/>
        </w:rPr>
      </w:pPr>
    </w:p>
    <w:p w:rsidR="00625722" w:rsidRPr="00625722" w:rsidRDefault="00625722" w:rsidP="00625722">
      <w:pPr>
        <w:spacing w:before="120" w:after="120"/>
        <w:jc w:val="both"/>
        <w:rPr>
          <w:rFonts w:ascii="Times New Roman" w:hAnsi="Times New Roman" w:cs="Times New Roman"/>
          <w:b/>
          <w:sz w:val="28"/>
          <w:szCs w:val="28"/>
          <w:lang w:val="en-US"/>
        </w:rPr>
      </w:pPr>
      <w:bookmarkStart w:id="3" w:name="_Toc392683430"/>
      <w:r>
        <w:rPr>
          <w:rFonts w:ascii="Times New Roman" w:hAnsi="Times New Roman" w:cs="Times New Roman"/>
          <w:b/>
          <w:sz w:val="28"/>
          <w:szCs w:val="28"/>
          <w:lang w:val="en-US"/>
        </w:rPr>
        <w:t xml:space="preserve">3.3. </w:t>
      </w:r>
      <w:r w:rsidRPr="00625722">
        <w:rPr>
          <w:rFonts w:ascii="Times New Roman" w:hAnsi="Times New Roman" w:cs="Times New Roman"/>
          <w:b/>
          <w:sz w:val="28"/>
          <w:szCs w:val="28"/>
          <w:lang w:val="en-US"/>
        </w:rPr>
        <w:t>Lessons learned with the implementation of the CBD</w:t>
      </w:r>
      <w:bookmarkEnd w:id="3"/>
    </w:p>
    <w:p w:rsidR="00625722" w:rsidRDefault="00625722" w:rsidP="00625722">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During the ongoing process of developing the Governmental Action Plan for Biodiversity Conservation and Sustainable Use (see section 2.1.3), some important lessons were learnt in the broad and complex consultation level at the federal level:</w:t>
      </w:r>
    </w:p>
    <w:p w:rsidR="00625722" w:rsidRDefault="00625722" w:rsidP="00625722">
      <w:pPr>
        <w:pStyle w:val="PargrafodaLista"/>
        <w:numPr>
          <w:ilvl w:val="0"/>
          <w:numId w:val="1"/>
        </w:num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The consultation process evidenced the need to enhance the management and synergy among existing public policies.</w:t>
      </w:r>
    </w:p>
    <w:p w:rsidR="00625722" w:rsidRDefault="00625722" w:rsidP="00625722">
      <w:pPr>
        <w:pStyle w:val="PargrafodaLista"/>
        <w:numPr>
          <w:ilvl w:val="0"/>
          <w:numId w:val="1"/>
        </w:num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process also resulted in the certainty that the governmental environmental sector cannot contain with its own efforts alone the ongoing loss of Brazilian biodiversity, and that </w:t>
      </w:r>
      <w:proofErr w:type="gramStart"/>
      <w:r>
        <w:rPr>
          <w:rFonts w:ascii="Times New Roman" w:hAnsi="Times New Roman" w:cs="Times New Roman"/>
          <w:sz w:val="24"/>
          <w:szCs w:val="24"/>
          <w:lang w:val="en-US"/>
        </w:rPr>
        <w:t>consequently,</w:t>
      </w:r>
      <w:proofErr w:type="gramEnd"/>
      <w:r>
        <w:rPr>
          <w:rFonts w:ascii="Times New Roman" w:hAnsi="Times New Roman" w:cs="Times New Roman"/>
          <w:sz w:val="24"/>
          <w:szCs w:val="24"/>
          <w:lang w:val="en-US"/>
        </w:rPr>
        <w:t xml:space="preserve"> there is significant potential for inter-ministerial integration regarding existing governmental programs, which would result in significant impacts on the reduction or halt of biodiversity loss.</w:t>
      </w:r>
    </w:p>
    <w:p w:rsidR="00625722" w:rsidRDefault="00625722" w:rsidP="00625722">
      <w:pPr>
        <w:pStyle w:val="PargrafodaLista"/>
        <w:numPr>
          <w:ilvl w:val="0"/>
          <w:numId w:val="1"/>
        </w:num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The process also brought the recognition that the inter-institutional integration and coordination for biodiversity conservation within the federal government and other sectors is a viable and rewarding venture.</w:t>
      </w:r>
    </w:p>
    <w:p w:rsidR="00625722" w:rsidRPr="00625722" w:rsidRDefault="00625722" w:rsidP="00625722">
      <w:pPr>
        <w:pStyle w:val="PargrafodaLista"/>
        <w:numPr>
          <w:ilvl w:val="0"/>
          <w:numId w:val="1"/>
        </w:num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Additionally, the preparation of the previous national report to the CBD evidenced the difficulty of working with an excessive number of national biodiversity targets, particularly without adequate indicators and a monitoring system. The participatory construction of the new national targets, based on the Aichi Targets, sought to define a manageable set of targets and to obtain the engagement of all sectors that should contribute to target achievement and monitoring.</w:t>
      </w:r>
    </w:p>
    <w:p w:rsidR="00625722" w:rsidRDefault="00625722" w:rsidP="00625722">
      <w:pPr>
        <w:spacing w:before="120" w:after="120"/>
        <w:jc w:val="both"/>
        <w:rPr>
          <w:lang w:val="en-US"/>
        </w:rPr>
      </w:pPr>
    </w:p>
    <w:p w:rsidR="00625722" w:rsidRDefault="00625722" w:rsidP="00625722">
      <w:pPr>
        <w:spacing w:before="120" w:after="120"/>
        <w:jc w:val="both"/>
        <w:rPr>
          <w:lang w:val="en-US"/>
        </w:rPr>
      </w:pPr>
    </w:p>
    <w:p w:rsidR="00625722" w:rsidRDefault="00625722" w:rsidP="00625722">
      <w:pPr>
        <w:spacing w:before="120" w:after="120"/>
        <w:jc w:val="both"/>
        <w:rPr>
          <w:lang w:val="en-US"/>
        </w:rPr>
      </w:pPr>
    </w:p>
    <w:p w:rsidR="00625722" w:rsidRDefault="00625722" w:rsidP="00625722">
      <w:pPr>
        <w:spacing w:before="120" w:after="120"/>
        <w:jc w:val="both"/>
        <w:rPr>
          <w:lang w:val="en-US"/>
        </w:rPr>
      </w:pPr>
    </w:p>
    <w:p w:rsidR="00625722" w:rsidRPr="00625722" w:rsidRDefault="00625722" w:rsidP="00625722">
      <w:pPr>
        <w:spacing w:before="120" w:after="120"/>
        <w:jc w:val="both"/>
        <w:rPr>
          <w:lang w:val="en-US"/>
        </w:rPr>
      </w:pPr>
      <w:bookmarkStart w:id="4" w:name="_GoBack"/>
      <w:bookmarkEnd w:id="4"/>
    </w:p>
    <w:sectPr w:rsidR="00625722" w:rsidRPr="00625722" w:rsidSect="004B1D44">
      <w:footerReference w:type="default" r:id="rId12"/>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3E2" w:rsidRDefault="00A113E2" w:rsidP="00625722">
      <w:r>
        <w:separator/>
      </w:r>
    </w:p>
  </w:endnote>
  <w:endnote w:type="continuationSeparator" w:id="0">
    <w:p w:rsidR="00A113E2" w:rsidRDefault="00A113E2" w:rsidP="00625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691565"/>
      <w:docPartObj>
        <w:docPartGallery w:val="Page Numbers (Bottom of Page)"/>
        <w:docPartUnique/>
      </w:docPartObj>
    </w:sdtPr>
    <w:sdtEndPr/>
    <w:sdtContent>
      <w:p w:rsidR="004B1D44" w:rsidRDefault="004B1D44">
        <w:pPr>
          <w:pStyle w:val="Rodap"/>
          <w:jc w:val="right"/>
        </w:pPr>
        <w:r>
          <w:fldChar w:fldCharType="begin"/>
        </w:r>
        <w:r>
          <w:instrText>PAGE   \* MERGEFORMAT</w:instrText>
        </w:r>
        <w:r>
          <w:fldChar w:fldCharType="separate"/>
        </w:r>
        <w:r w:rsidR="00180140">
          <w:rPr>
            <w:noProof/>
          </w:rPr>
          <w:t>25</w:t>
        </w:r>
        <w:r>
          <w:fldChar w:fldCharType="end"/>
        </w:r>
      </w:p>
    </w:sdtContent>
  </w:sdt>
  <w:p w:rsidR="004B1D44" w:rsidRDefault="004B1D4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3E2" w:rsidRDefault="00A113E2" w:rsidP="00625722">
      <w:r>
        <w:separator/>
      </w:r>
    </w:p>
  </w:footnote>
  <w:footnote w:type="continuationSeparator" w:id="0">
    <w:p w:rsidR="00A113E2" w:rsidRDefault="00A113E2" w:rsidP="00625722">
      <w:r>
        <w:continuationSeparator/>
      </w:r>
    </w:p>
  </w:footnote>
  <w:footnote w:id="1">
    <w:p w:rsidR="00625722" w:rsidRPr="00DA455A" w:rsidRDefault="00625722" w:rsidP="00625722">
      <w:pPr>
        <w:pStyle w:val="Textodenotaderodap"/>
        <w:ind w:firstLine="0"/>
        <w:rPr>
          <w:lang w:val="en-US"/>
        </w:rPr>
      </w:pPr>
      <w:r>
        <w:rPr>
          <w:rStyle w:val="Refdenotaderodap"/>
        </w:rPr>
        <w:footnoteRef/>
      </w:r>
      <w:r>
        <w:t xml:space="preserve"> </w:t>
      </w:r>
      <w:hyperlink r:id="rId1" w:history="1">
        <w:r w:rsidRPr="00AE6D31">
          <w:rPr>
            <w:rStyle w:val="Hyperlink"/>
            <w:szCs w:val="18"/>
          </w:rPr>
          <w:t>http://ethicalbiotrade.org/biodiversity-barometer</w:t>
        </w:r>
      </w:hyperlink>
      <w:r w:rsidRPr="00AE6D31">
        <w:rPr>
          <w:szCs w:val="18"/>
        </w:rPr>
        <w:t xml:space="preserve"> </w:t>
      </w:r>
    </w:p>
  </w:footnote>
  <w:footnote w:id="2">
    <w:p w:rsidR="00625722" w:rsidRPr="002A42E9" w:rsidRDefault="00625722" w:rsidP="00625722">
      <w:pPr>
        <w:pStyle w:val="Textodenotaderodap"/>
        <w:ind w:firstLine="0"/>
        <w:rPr>
          <w:lang w:val="pt-BR"/>
        </w:rPr>
      </w:pPr>
      <w:r>
        <w:rPr>
          <w:rStyle w:val="Refdenotaderodap"/>
        </w:rPr>
        <w:footnoteRef/>
      </w:r>
      <w:r>
        <w:t xml:space="preserve"> </w:t>
      </w:r>
      <w:proofErr w:type="gramStart"/>
      <w:r>
        <w:t>May, P.H. and Weiss, J. 2014.</w:t>
      </w:r>
      <w:proofErr w:type="gramEnd"/>
      <w:r>
        <w:t xml:space="preserve"> </w:t>
      </w:r>
      <w:proofErr w:type="gramStart"/>
      <w:r>
        <w:t>Brazil’s response to Aichi Goal 3 to reduce subsidies and perverse incentives harmful to biodiversity and ecosystem service provision.</w:t>
      </w:r>
      <w:proofErr w:type="gramEnd"/>
      <w:r>
        <w:t xml:space="preserve"> </w:t>
      </w:r>
      <w:proofErr w:type="spellStart"/>
      <w:r w:rsidRPr="00625722">
        <w:rPr>
          <w:lang w:val="pt-BR"/>
        </w:rPr>
        <w:t>Contribution</w:t>
      </w:r>
      <w:proofErr w:type="spellEnd"/>
      <w:r w:rsidRPr="00625722">
        <w:rPr>
          <w:lang w:val="pt-BR"/>
        </w:rPr>
        <w:t xml:space="preserve"> </w:t>
      </w:r>
      <w:proofErr w:type="spellStart"/>
      <w:r w:rsidRPr="00625722">
        <w:rPr>
          <w:lang w:val="pt-BR"/>
        </w:rPr>
        <w:t>to</w:t>
      </w:r>
      <w:proofErr w:type="spellEnd"/>
      <w:r w:rsidRPr="00625722">
        <w:rPr>
          <w:lang w:val="pt-BR"/>
        </w:rPr>
        <w:t xml:space="preserve"> SBSTTA-18.</w:t>
      </w:r>
    </w:p>
  </w:footnote>
  <w:footnote w:id="3">
    <w:p w:rsidR="00625722" w:rsidRPr="00922FAE" w:rsidRDefault="00625722" w:rsidP="00625722">
      <w:pPr>
        <w:pStyle w:val="Textodenotaderodap"/>
        <w:ind w:firstLine="0"/>
        <w:rPr>
          <w:szCs w:val="18"/>
          <w:lang w:val="pt-BR"/>
        </w:rPr>
      </w:pPr>
      <w:r>
        <w:rPr>
          <w:rStyle w:val="Refdenotaderodap"/>
        </w:rPr>
        <w:footnoteRef/>
      </w:r>
      <w:r w:rsidRPr="00922FAE">
        <w:rPr>
          <w:lang w:val="pt-BR"/>
        </w:rPr>
        <w:t xml:space="preserve"> </w:t>
      </w:r>
      <w:hyperlink r:id="rId2" w:history="1">
        <w:r w:rsidRPr="003F5260">
          <w:rPr>
            <w:rStyle w:val="Hyperlink"/>
            <w:rFonts w:eastAsiaTheme="minorHAnsi"/>
            <w:szCs w:val="18"/>
            <w:lang w:val="pt-BR"/>
          </w:rPr>
          <w:t>http://www.consumosustentavel.gov.br/</w:t>
        </w:r>
      </w:hyperlink>
      <w:r w:rsidRPr="00922FAE">
        <w:rPr>
          <w:rFonts w:eastAsiaTheme="minorHAnsi"/>
          <w:color w:val="000000"/>
          <w:szCs w:val="18"/>
          <w:lang w:val="pt-BR"/>
        </w:rPr>
        <w:t xml:space="preserve"> </w:t>
      </w:r>
    </w:p>
  </w:footnote>
  <w:footnote w:id="4">
    <w:p w:rsidR="00625722" w:rsidRPr="007D2DF2" w:rsidRDefault="00625722" w:rsidP="00625722">
      <w:pPr>
        <w:pStyle w:val="Textodenotaderodap"/>
        <w:ind w:firstLine="0"/>
        <w:rPr>
          <w:lang w:val="pt-BR"/>
        </w:rPr>
      </w:pPr>
      <w:r>
        <w:rPr>
          <w:rStyle w:val="Refdenotaderodap"/>
        </w:rPr>
        <w:footnoteRef/>
      </w:r>
      <w:r w:rsidRPr="00D114C9">
        <w:rPr>
          <w:lang w:val="fr-FR"/>
        </w:rPr>
        <w:t xml:space="preserve"> </w:t>
      </w:r>
      <w:proofErr w:type="spellStart"/>
      <w:r w:rsidRPr="00D114C9">
        <w:rPr>
          <w:szCs w:val="18"/>
          <w:lang w:val="fr-FR"/>
        </w:rPr>
        <w:t>Weigand</w:t>
      </w:r>
      <w:proofErr w:type="spellEnd"/>
      <w:r w:rsidRPr="00D114C9">
        <w:rPr>
          <w:szCs w:val="18"/>
          <w:lang w:val="fr-FR"/>
        </w:rPr>
        <w:t xml:space="preserve"> Jr., R. et al, 2011. </w:t>
      </w:r>
      <w:r w:rsidRPr="00DB4EDE">
        <w:rPr>
          <w:szCs w:val="18"/>
          <w:lang w:val="pt-BR"/>
        </w:rPr>
        <w:t xml:space="preserve">Metas de </w:t>
      </w:r>
      <w:proofErr w:type="spellStart"/>
      <w:r w:rsidRPr="00DB4EDE">
        <w:rPr>
          <w:szCs w:val="18"/>
          <w:lang w:val="pt-BR"/>
        </w:rPr>
        <w:t>Aichi</w:t>
      </w:r>
      <w:proofErr w:type="spellEnd"/>
      <w:r w:rsidRPr="00DB4EDE">
        <w:rPr>
          <w:szCs w:val="18"/>
          <w:lang w:val="pt-BR"/>
        </w:rPr>
        <w:t xml:space="preserve">: situação atual. </w:t>
      </w:r>
      <w:r w:rsidRPr="00DA455A">
        <w:rPr>
          <w:szCs w:val="18"/>
          <w:lang w:val="pt-BR"/>
        </w:rPr>
        <w:t xml:space="preserve">UICN, WWF-Brasil </w:t>
      </w:r>
      <w:proofErr w:type="spellStart"/>
      <w:r w:rsidRPr="00DA455A">
        <w:rPr>
          <w:szCs w:val="18"/>
          <w:lang w:val="pt-BR"/>
        </w:rPr>
        <w:t>and</w:t>
      </w:r>
      <w:proofErr w:type="spellEnd"/>
      <w:r w:rsidRPr="00DA455A">
        <w:rPr>
          <w:szCs w:val="18"/>
          <w:lang w:val="pt-BR"/>
        </w:rPr>
        <w:t xml:space="preserve"> IPE.</w:t>
      </w:r>
    </w:p>
  </w:footnote>
  <w:footnote w:id="5">
    <w:p w:rsidR="00625722" w:rsidRPr="00210EE3" w:rsidRDefault="00625722" w:rsidP="00625722">
      <w:pPr>
        <w:pStyle w:val="Textodenotaderodap"/>
        <w:ind w:firstLine="0"/>
        <w:rPr>
          <w:szCs w:val="18"/>
          <w:lang w:val="pt-BR"/>
        </w:rPr>
      </w:pPr>
      <w:r w:rsidRPr="00210EE3">
        <w:rPr>
          <w:rStyle w:val="Refdenotaderodap"/>
          <w:sz w:val="18"/>
          <w:szCs w:val="18"/>
        </w:rPr>
        <w:footnoteRef/>
      </w:r>
      <w:r w:rsidRPr="00210EE3">
        <w:rPr>
          <w:szCs w:val="18"/>
          <w:lang w:val="pt-BR"/>
        </w:rPr>
        <w:t xml:space="preserve"> </w:t>
      </w:r>
      <w:hyperlink r:id="rId3" w:history="1">
        <w:r w:rsidRPr="003F5260">
          <w:rPr>
            <w:rStyle w:val="Hyperlink"/>
            <w:rFonts w:eastAsiaTheme="minorHAnsi"/>
            <w:szCs w:val="18"/>
            <w:lang w:val="pt-BR"/>
          </w:rPr>
          <w:t>http://www.consumosustentavel.gov.br/</w:t>
        </w:r>
      </w:hyperlink>
    </w:p>
  </w:footnote>
  <w:footnote w:id="6">
    <w:p w:rsidR="00625722" w:rsidRPr="007C21BE" w:rsidRDefault="00625722" w:rsidP="00625722">
      <w:pPr>
        <w:pStyle w:val="Textodenotaderodap"/>
        <w:ind w:firstLine="0"/>
        <w:rPr>
          <w:lang w:val="en-US"/>
        </w:rPr>
      </w:pPr>
      <w:r>
        <w:rPr>
          <w:rStyle w:val="Refdenotaderodap"/>
        </w:rPr>
        <w:footnoteRef/>
      </w:r>
      <w:r>
        <w:t xml:space="preserve"> </w:t>
      </w:r>
      <w:proofErr w:type="gramStart"/>
      <w:r>
        <w:t>MMA-PNIA 2012, unpublished report.</w:t>
      </w:r>
      <w:proofErr w:type="gramEnd"/>
      <w:r>
        <w:t xml:space="preserve"> </w:t>
      </w:r>
      <w:proofErr w:type="gramStart"/>
      <w:r>
        <w:t>Theoretical reference, composition and synthesis of indicators for the pilot version (in Portuguese).</w:t>
      </w:r>
      <w:proofErr w:type="gramEnd"/>
      <w:r>
        <w:t xml:space="preserve"> </w:t>
      </w:r>
      <w:proofErr w:type="gramStart"/>
      <w:r>
        <w:t>PNIA – National Panel on Environmental Indicators.</w:t>
      </w:r>
      <w:proofErr w:type="gramEnd"/>
    </w:p>
  </w:footnote>
  <w:footnote w:id="7">
    <w:p w:rsidR="00625722" w:rsidRPr="007C21BE" w:rsidRDefault="00625722" w:rsidP="00625722">
      <w:pPr>
        <w:pStyle w:val="Textodenotaderodap"/>
        <w:ind w:firstLine="0"/>
        <w:rPr>
          <w:lang w:val="en-US"/>
        </w:rPr>
      </w:pPr>
      <w:r>
        <w:rPr>
          <w:rStyle w:val="Refdenotaderodap"/>
        </w:rPr>
        <w:footnoteRef/>
      </w:r>
      <w:r>
        <w:t xml:space="preserve"> </w:t>
      </w:r>
      <w:hyperlink r:id="rId4" w:history="1">
        <w:r w:rsidRPr="00BA64FC">
          <w:rPr>
            <w:rStyle w:val="Hyperlink"/>
            <w:szCs w:val="18"/>
          </w:rPr>
          <w:t>http://mebbrasil.org.br/</w:t>
        </w:r>
      </w:hyperlink>
      <w:r>
        <w:rPr>
          <w:szCs w:val="18"/>
        </w:rPr>
        <w:t xml:space="preserve"> </w:t>
      </w:r>
    </w:p>
  </w:footnote>
  <w:footnote w:id="8">
    <w:p w:rsidR="00625722" w:rsidRPr="007C21BE" w:rsidRDefault="00625722" w:rsidP="00625722">
      <w:pPr>
        <w:pStyle w:val="Textodenotaderodap"/>
        <w:ind w:firstLine="0"/>
        <w:rPr>
          <w:lang w:val="en-US"/>
        </w:rPr>
      </w:pPr>
      <w:r>
        <w:rPr>
          <w:rStyle w:val="Refdenotaderodap"/>
        </w:rPr>
        <w:footnoteRef/>
      </w:r>
      <w:r>
        <w:t xml:space="preserve"> </w:t>
      </w:r>
      <w:proofErr w:type="gramStart"/>
      <w:r w:rsidRPr="00777A7F">
        <w:rPr>
          <w:sz w:val="20"/>
          <w:szCs w:val="20"/>
          <w:lang w:val="en-US"/>
        </w:rPr>
        <w:t>MMA-PNIA 2012, unpublished report.</w:t>
      </w:r>
      <w:proofErr w:type="gramEnd"/>
      <w:r w:rsidRPr="00777A7F">
        <w:rPr>
          <w:sz w:val="20"/>
          <w:szCs w:val="20"/>
          <w:lang w:val="en-US"/>
        </w:rPr>
        <w:t xml:space="preserve"> </w:t>
      </w:r>
      <w:proofErr w:type="gramStart"/>
      <w:r w:rsidRPr="00777A7F">
        <w:rPr>
          <w:sz w:val="20"/>
          <w:szCs w:val="20"/>
          <w:lang w:val="en-US"/>
        </w:rPr>
        <w:t>Theoretic</w:t>
      </w:r>
      <w:r>
        <w:rPr>
          <w:sz w:val="20"/>
          <w:szCs w:val="20"/>
          <w:lang w:val="en-US"/>
        </w:rPr>
        <w:t>al</w:t>
      </w:r>
      <w:r w:rsidRPr="00777A7F">
        <w:rPr>
          <w:sz w:val="20"/>
          <w:szCs w:val="20"/>
          <w:lang w:val="en-US"/>
        </w:rPr>
        <w:t xml:space="preserve"> reference, composition and synthesis of indicators for the pilot version (in Portuguese).</w:t>
      </w:r>
      <w:proofErr w:type="gramEnd"/>
      <w:r w:rsidRPr="00777A7F">
        <w:rPr>
          <w:sz w:val="20"/>
          <w:szCs w:val="20"/>
          <w:lang w:val="en-US"/>
        </w:rPr>
        <w:t xml:space="preserve"> </w:t>
      </w:r>
      <w:proofErr w:type="gramStart"/>
      <w:r w:rsidRPr="00C544AA">
        <w:rPr>
          <w:sz w:val="20"/>
          <w:szCs w:val="20"/>
          <w:lang w:val="en-US"/>
        </w:rPr>
        <w:t>PNIA – National Panel on Environmental Indicators</w:t>
      </w:r>
      <w:r>
        <w:rPr>
          <w:sz w:val="20"/>
          <w:szCs w:val="20"/>
          <w:lang w:val="en-US"/>
        </w:rPr>
        <w:t>.</w:t>
      </w:r>
      <w:proofErr w:type="gramEnd"/>
    </w:p>
  </w:footnote>
  <w:footnote w:id="9">
    <w:p w:rsidR="00625722" w:rsidRPr="0057776D" w:rsidRDefault="00625722" w:rsidP="00625722">
      <w:pPr>
        <w:pStyle w:val="Textodenotaderodap"/>
        <w:ind w:firstLine="0"/>
        <w:rPr>
          <w:lang w:val="pt-BR"/>
        </w:rPr>
      </w:pPr>
      <w:r>
        <w:rPr>
          <w:rStyle w:val="Refdenotaderodap"/>
        </w:rPr>
        <w:footnoteRef/>
      </w:r>
      <w:r>
        <w:t xml:space="preserve"> </w:t>
      </w:r>
      <w:proofErr w:type="gramStart"/>
      <w:r w:rsidRPr="00777A7F">
        <w:rPr>
          <w:sz w:val="20"/>
          <w:szCs w:val="20"/>
          <w:lang w:val="en-US"/>
        </w:rPr>
        <w:t>MMA-PNIA 2012, unpublished report.</w:t>
      </w:r>
      <w:proofErr w:type="gramEnd"/>
      <w:r w:rsidRPr="00777A7F">
        <w:rPr>
          <w:sz w:val="20"/>
          <w:szCs w:val="20"/>
          <w:lang w:val="en-US"/>
        </w:rPr>
        <w:t xml:space="preserve"> </w:t>
      </w:r>
      <w:proofErr w:type="gramStart"/>
      <w:r w:rsidRPr="00777A7F">
        <w:rPr>
          <w:sz w:val="20"/>
          <w:szCs w:val="20"/>
          <w:lang w:val="en-US"/>
        </w:rPr>
        <w:t>Theoretic</w:t>
      </w:r>
      <w:r>
        <w:rPr>
          <w:sz w:val="20"/>
          <w:szCs w:val="20"/>
          <w:lang w:val="en-US"/>
        </w:rPr>
        <w:t>al</w:t>
      </w:r>
      <w:r w:rsidRPr="00777A7F">
        <w:rPr>
          <w:sz w:val="20"/>
          <w:szCs w:val="20"/>
          <w:lang w:val="en-US"/>
        </w:rPr>
        <w:t xml:space="preserve"> reference, composition and synthesis of indicators for the pilot version (in Portuguese).</w:t>
      </w:r>
      <w:proofErr w:type="gramEnd"/>
      <w:r w:rsidRPr="00777A7F">
        <w:rPr>
          <w:sz w:val="20"/>
          <w:szCs w:val="20"/>
          <w:lang w:val="en-US"/>
        </w:rPr>
        <w:t xml:space="preserve"> </w:t>
      </w:r>
      <w:r w:rsidRPr="00B55462">
        <w:rPr>
          <w:sz w:val="20"/>
          <w:szCs w:val="20"/>
          <w:lang w:val="pt-BR"/>
        </w:rPr>
        <w:t xml:space="preserve">PNIA – </w:t>
      </w:r>
      <w:proofErr w:type="spellStart"/>
      <w:r w:rsidRPr="00B55462">
        <w:rPr>
          <w:sz w:val="20"/>
          <w:szCs w:val="20"/>
          <w:lang w:val="pt-BR"/>
        </w:rPr>
        <w:t>National</w:t>
      </w:r>
      <w:proofErr w:type="spellEnd"/>
      <w:r w:rsidRPr="00B55462">
        <w:rPr>
          <w:sz w:val="20"/>
          <w:szCs w:val="20"/>
          <w:lang w:val="pt-BR"/>
        </w:rPr>
        <w:t xml:space="preserve"> </w:t>
      </w:r>
      <w:proofErr w:type="spellStart"/>
      <w:r w:rsidRPr="00B55462">
        <w:rPr>
          <w:sz w:val="20"/>
          <w:szCs w:val="20"/>
          <w:lang w:val="pt-BR"/>
        </w:rPr>
        <w:t>Panel</w:t>
      </w:r>
      <w:proofErr w:type="spellEnd"/>
      <w:r w:rsidRPr="00B55462">
        <w:rPr>
          <w:sz w:val="20"/>
          <w:szCs w:val="20"/>
          <w:lang w:val="pt-BR"/>
        </w:rPr>
        <w:t xml:space="preserve"> </w:t>
      </w:r>
      <w:proofErr w:type="spellStart"/>
      <w:r w:rsidRPr="00B55462">
        <w:rPr>
          <w:sz w:val="20"/>
          <w:szCs w:val="20"/>
          <w:lang w:val="pt-BR"/>
        </w:rPr>
        <w:t>on</w:t>
      </w:r>
      <w:proofErr w:type="spellEnd"/>
      <w:r w:rsidRPr="00B55462">
        <w:rPr>
          <w:sz w:val="20"/>
          <w:szCs w:val="20"/>
          <w:lang w:val="pt-BR"/>
        </w:rPr>
        <w:t xml:space="preserve"> Environmental </w:t>
      </w:r>
      <w:proofErr w:type="spellStart"/>
      <w:r w:rsidRPr="00B55462">
        <w:rPr>
          <w:sz w:val="20"/>
          <w:szCs w:val="20"/>
          <w:lang w:val="pt-BR"/>
        </w:rPr>
        <w:t>Indicators</w:t>
      </w:r>
      <w:proofErr w:type="spellEnd"/>
      <w:r w:rsidRPr="00B55462">
        <w:rPr>
          <w:sz w:val="20"/>
          <w:szCs w:val="20"/>
          <w:lang w:val="pt-BR"/>
        </w:rPr>
        <w:t>.</w:t>
      </w:r>
    </w:p>
  </w:footnote>
  <w:footnote w:id="10">
    <w:p w:rsidR="00625722" w:rsidRPr="00B55462" w:rsidRDefault="00625722" w:rsidP="00625722">
      <w:pPr>
        <w:pStyle w:val="Textodenotaderodap"/>
        <w:ind w:firstLine="0"/>
        <w:rPr>
          <w:lang w:val="de-DE"/>
        </w:rPr>
      </w:pPr>
      <w:r>
        <w:rPr>
          <w:rStyle w:val="Refdenotaderodap"/>
        </w:rPr>
        <w:footnoteRef/>
      </w:r>
      <w:r w:rsidRPr="00AD7B49">
        <w:rPr>
          <w:lang w:val="pt-BR"/>
        </w:rPr>
        <w:t xml:space="preserve"> </w:t>
      </w:r>
      <w:r>
        <w:rPr>
          <w:lang w:val="pt-BR"/>
        </w:rPr>
        <w:t xml:space="preserve">Instituto de Energia e Meio Ambiente, 2014. 1º </w:t>
      </w:r>
      <w:proofErr w:type="spellStart"/>
      <w:r>
        <w:rPr>
          <w:lang w:val="pt-BR"/>
        </w:rPr>
        <w:t>Diagóstico</w:t>
      </w:r>
      <w:proofErr w:type="spellEnd"/>
      <w:r>
        <w:rPr>
          <w:lang w:val="pt-BR"/>
        </w:rPr>
        <w:t xml:space="preserve"> da Rede de Monitoramento da Qualidade do Ar no Brasil. </w:t>
      </w:r>
      <w:r w:rsidRPr="00B55462">
        <w:rPr>
          <w:lang w:val="de-DE"/>
        </w:rPr>
        <w:t>277 p.</w:t>
      </w:r>
    </w:p>
  </w:footnote>
  <w:footnote w:id="11">
    <w:p w:rsidR="00625722" w:rsidRPr="00A162EC" w:rsidRDefault="00625722" w:rsidP="00625722">
      <w:pPr>
        <w:pStyle w:val="Textodenotaderodap"/>
        <w:ind w:firstLine="0"/>
        <w:rPr>
          <w:lang w:val="pt-BR"/>
        </w:rPr>
      </w:pPr>
      <w:r>
        <w:rPr>
          <w:rStyle w:val="Refdenotaderodap"/>
        </w:rPr>
        <w:footnoteRef/>
      </w:r>
      <w:r w:rsidRPr="007E4775">
        <w:rPr>
          <w:lang w:val="de-DE"/>
        </w:rPr>
        <w:t xml:space="preserve"> MMA/SRHU </w:t>
      </w:r>
      <w:proofErr w:type="spellStart"/>
      <w:r w:rsidRPr="007E4775">
        <w:rPr>
          <w:lang w:val="de-DE"/>
        </w:rPr>
        <w:t>data</w:t>
      </w:r>
      <w:proofErr w:type="spellEnd"/>
      <w:r w:rsidRPr="007E4775">
        <w:rPr>
          <w:lang w:val="de-DE"/>
        </w:rPr>
        <w:t xml:space="preserve"> In: Weigand Jr., R. et al, 2011. </w:t>
      </w:r>
      <w:r w:rsidRPr="00F02A84">
        <w:rPr>
          <w:lang w:val="pt-BR"/>
        </w:rPr>
        <w:t xml:space="preserve">Metas de </w:t>
      </w:r>
      <w:proofErr w:type="spellStart"/>
      <w:r w:rsidRPr="00F02A84">
        <w:rPr>
          <w:lang w:val="pt-BR"/>
        </w:rPr>
        <w:t>Aichi</w:t>
      </w:r>
      <w:proofErr w:type="spellEnd"/>
      <w:r w:rsidRPr="00F02A84">
        <w:rPr>
          <w:lang w:val="pt-BR"/>
        </w:rPr>
        <w:t xml:space="preserve">: situação atual. UICN, WWF-Brasil </w:t>
      </w:r>
      <w:proofErr w:type="spellStart"/>
      <w:r w:rsidRPr="00F02A84">
        <w:rPr>
          <w:lang w:val="pt-BR"/>
        </w:rPr>
        <w:t>and</w:t>
      </w:r>
      <w:proofErr w:type="spellEnd"/>
      <w:r w:rsidRPr="00F02A84">
        <w:rPr>
          <w:lang w:val="pt-BR"/>
        </w:rPr>
        <w:t xml:space="preserve"> IPE</w:t>
      </w:r>
      <w:r>
        <w:rPr>
          <w:lang w:val="pt-BR"/>
        </w:rPr>
        <w:t>.</w:t>
      </w:r>
    </w:p>
  </w:footnote>
  <w:footnote w:id="12">
    <w:p w:rsidR="00625722" w:rsidRPr="00B512A9" w:rsidRDefault="00625722" w:rsidP="00625722">
      <w:pPr>
        <w:pStyle w:val="Textodenotaderodap"/>
        <w:ind w:firstLine="0"/>
        <w:rPr>
          <w:lang w:val="pt-BR"/>
        </w:rPr>
      </w:pPr>
      <w:r>
        <w:rPr>
          <w:rStyle w:val="Refdenotaderodap"/>
        </w:rPr>
        <w:footnoteRef/>
      </w:r>
      <w:r w:rsidRPr="00B512A9">
        <w:rPr>
          <w:lang w:val="pt-BR"/>
        </w:rPr>
        <w:t xml:space="preserve"> Prates, A.P.L. 2003. Recifes de coral e unidades de conservaç</w:t>
      </w:r>
      <w:r>
        <w:rPr>
          <w:lang w:val="pt-BR"/>
        </w:rPr>
        <w:t>ão costeiras e marinhas no Brasil: uma análise da representatividade e eficiência na conservação da biodiversidade. Brasília (DF): Universidade de Brasília.</w:t>
      </w:r>
    </w:p>
  </w:footnote>
  <w:footnote w:id="13">
    <w:p w:rsidR="00625722" w:rsidRPr="00617FE7" w:rsidRDefault="00625722" w:rsidP="00625722">
      <w:pPr>
        <w:pStyle w:val="Textodenotaderodap"/>
        <w:ind w:firstLine="0"/>
        <w:rPr>
          <w:lang w:val="pt-BR"/>
        </w:rPr>
      </w:pPr>
      <w:r>
        <w:rPr>
          <w:rStyle w:val="Refdenotaderodap"/>
        </w:rPr>
        <w:footnoteRef/>
      </w:r>
      <w:r w:rsidRPr="00D114C9">
        <w:rPr>
          <w:lang w:val="fr-FR"/>
        </w:rPr>
        <w:t xml:space="preserve"> </w:t>
      </w:r>
      <w:proofErr w:type="spellStart"/>
      <w:r w:rsidRPr="00D114C9">
        <w:rPr>
          <w:lang w:val="fr-FR"/>
        </w:rPr>
        <w:t>Weigand</w:t>
      </w:r>
      <w:proofErr w:type="spellEnd"/>
      <w:r w:rsidRPr="00D114C9">
        <w:rPr>
          <w:lang w:val="fr-FR"/>
        </w:rPr>
        <w:t xml:space="preserve"> Jr., R. et al, 2011. </w:t>
      </w:r>
      <w:r w:rsidRPr="00F02A84">
        <w:rPr>
          <w:lang w:val="pt-BR"/>
        </w:rPr>
        <w:t xml:space="preserve">Metas de </w:t>
      </w:r>
      <w:proofErr w:type="spellStart"/>
      <w:r w:rsidRPr="00F02A84">
        <w:rPr>
          <w:lang w:val="pt-BR"/>
        </w:rPr>
        <w:t>Aichi</w:t>
      </w:r>
      <w:proofErr w:type="spellEnd"/>
      <w:r w:rsidRPr="00F02A84">
        <w:rPr>
          <w:lang w:val="pt-BR"/>
        </w:rPr>
        <w:t xml:space="preserve">: situação atual. UICN, WWF-Brasil </w:t>
      </w:r>
      <w:proofErr w:type="spellStart"/>
      <w:r w:rsidRPr="00F02A84">
        <w:rPr>
          <w:lang w:val="pt-BR"/>
        </w:rPr>
        <w:t>and</w:t>
      </w:r>
      <w:proofErr w:type="spellEnd"/>
      <w:r w:rsidRPr="00F02A84">
        <w:rPr>
          <w:lang w:val="pt-BR"/>
        </w:rPr>
        <w:t xml:space="preserve"> IPE</w:t>
      </w:r>
      <w:r>
        <w:rPr>
          <w:lang w:val="pt-BR"/>
        </w:rPr>
        <w:t>.</w:t>
      </w:r>
    </w:p>
  </w:footnote>
  <w:footnote w:id="14">
    <w:p w:rsidR="00625722" w:rsidRPr="00C572B1" w:rsidRDefault="00625722" w:rsidP="00625722">
      <w:pPr>
        <w:pStyle w:val="Textodenotaderodap"/>
        <w:ind w:firstLine="0"/>
        <w:rPr>
          <w:lang w:val="pt-BR"/>
        </w:rPr>
      </w:pPr>
      <w:r>
        <w:rPr>
          <w:rStyle w:val="Refdenotaderodap"/>
        </w:rPr>
        <w:footnoteRef/>
      </w:r>
      <w:r w:rsidRPr="00C572B1">
        <w:rPr>
          <w:lang w:val="pt-BR"/>
        </w:rPr>
        <w:t xml:space="preserve"> MMA, 2010. Panorama da conservação dos ecossistemas costeiros e marinhos no Brasil. </w:t>
      </w:r>
      <w:r>
        <w:rPr>
          <w:lang w:val="pt-BR"/>
        </w:rPr>
        <w:t>SBF/GBA, Brasília: 148p.</w:t>
      </w:r>
    </w:p>
  </w:footnote>
  <w:footnote w:id="15">
    <w:p w:rsidR="00625722" w:rsidRPr="00D430FD" w:rsidRDefault="00625722" w:rsidP="00625722">
      <w:pPr>
        <w:pStyle w:val="Textodenotaderodap"/>
        <w:ind w:firstLine="0"/>
        <w:rPr>
          <w:lang w:val="pt-BR"/>
        </w:rPr>
      </w:pPr>
      <w:r>
        <w:rPr>
          <w:rStyle w:val="Refdenotaderodap"/>
        </w:rPr>
        <w:footnoteRef/>
      </w:r>
      <w:r w:rsidRPr="00D430FD">
        <w:rPr>
          <w:lang w:val="pt-BR"/>
        </w:rPr>
        <w:t xml:space="preserve"> MAPA, 2013. </w:t>
      </w:r>
      <w:r>
        <w:rPr>
          <w:lang w:val="pt-BR"/>
        </w:rPr>
        <w:t>Projeções do Agronegócio: Brasil 2012/2013 a 2022/2023. Brasília: 96 p.</w:t>
      </w:r>
    </w:p>
  </w:footnote>
  <w:footnote w:id="16">
    <w:p w:rsidR="00625722" w:rsidRPr="000A326A" w:rsidRDefault="00625722" w:rsidP="00625722">
      <w:pPr>
        <w:pStyle w:val="Textodenotaderodap"/>
        <w:ind w:firstLine="0"/>
        <w:rPr>
          <w:lang w:val="pt-BR"/>
        </w:rPr>
      </w:pPr>
      <w:r>
        <w:rPr>
          <w:rStyle w:val="Refdenotaderodap"/>
        </w:rPr>
        <w:footnoteRef/>
      </w:r>
      <w:r w:rsidRPr="00474873">
        <w:rPr>
          <w:lang w:val="pt-BR"/>
        </w:rPr>
        <w:t xml:space="preserve"> </w:t>
      </w:r>
      <w:r>
        <w:rPr>
          <w:lang w:val="pt-BR"/>
        </w:rPr>
        <w:t>IPEA, 2014. Políticas agroambientais e sustentabilidade: desafios, oportunidades e lições aprendidas. Brasília, 273p.</w:t>
      </w:r>
    </w:p>
  </w:footnote>
  <w:footnote w:id="17">
    <w:p w:rsidR="00625722" w:rsidRPr="00DA455A" w:rsidRDefault="00625722" w:rsidP="00625722">
      <w:pPr>
        <w:pStyle w:val="Textodenotaderodap"/>
        <w:ind w:firstLine="0"/>
        <w:rPr>
          <w:szCs w:val="18"/>
          <w:lang w:val="en-US"/>
        </w:rPr>
      </w:pPr>
      <w:r>
        <w:rPr>
          <w:rStyle w:val="Refdenotaderodap"/>
        </w:rPr>
        <w:footnoteRef/>
      </w:r>
      <w:r w:rsidRPr="00D114C9">
        <w:rPr>
          <w:lang w:val="fr-FR"/>
        </w:rPr>
        <w:t xml:space="preserve"> </w:t>
      </w:r>
      <w:r w:rsidRPr="00D114C9">
        <w:rPr>
          <w:szCs w:val="18"/>
          <w:lang w:val="fr-FR"/>
        </w:rPr>
        <w:t xml:space="preserve">Ronaldo </w:t>
      </w:r>
      <w:proofErr w:type="spellStart"/>
      <w:r w:rsidRPr="00D114C9">
        <w:rPr>
          <w:szCs w:val="18"/>
          <w:lang w:val="fr-FR"/>
        </w:rPr>
        <w:t>Weigand</w:t>
      </w:r>
      <w:proofErr w:type="spellEnd"/>
      <w:r w:rsidRPr="00D114C9">
        <w:rPr>
          <w:szCs w:val="18"/>
          <w:lang w:val="fr-FR"/>
        </w:rPr>
        <w:t xml:space="preserve"> Jr et al., 2011. </w:t>
      </w:r>
      <w:r w:rsidRPr="00CB7AE9">
        <w:rPr>
          <w:szCs w:val="18"/>
          <w:lang w:val="pt-BR"/>
        </w:rPr>
        <w:t>Meta</w:t>
      </w:r>
      <w:r>
        <w:rPr>
          <w:szCs w:val="18"/>
          <w:lang w:val="pt-BR"/>
        </w:rPr>
        <w:t xml:space="preserve">s de </w:t>
      </w:r>
      <w:proofErr w:type="spellStart"/>
      <w:r>
        <w:rPr>
          <w:szCs w:val="18"/>
          <w:lang w:val="pt-BR"/>
        </w:rPr>
        <w:t>Aichi</w:t>
      </w:r>
      <w:proofErr w:type="spellEnd"/>
      <w:r>
        <w:rPr>
          <w:szCs w:val="18"/>
          <w:lang w:val="pt-BR"/>
        </w:rPr>
        <w:t>: situação atual</w:t>
      </w:r>
      <w:r w:rsidRPr="00CB7AE9">
        <w:rPr>
          <w:szCs w:val="18"/>
          <w:lang w:val="pt-BR"/>
        </w:rPr>
        <w:t xml:space="preserve">. </w:t>
      </w:r>
      <w:proofErr w:type="gramStart"/>
      <w:r w:rsidRPr="00DA455A">
        <w:rPr>
          <w:szCs w:val="18"/>
          <w:lang w:val="en-US"/>
        </w:rPr>
        <w:t>UICN; WWF-</w:t>
      </w:r>
      <w:proofErr w:type="spellStart"/>
      <w:r w:rsidRPr="00DA455A">
        <w:rPr>
          <w:szCs w:val="18"/>
          <w:lang w:val="en-US"/>
        </w:rPr>
        <w:t>Brasil</w:t>
      </w:r>
      <w:proofErr w:type="spellEnd"/>
      <w:r w:rsidRPr="00DA455A">
        <w:rPr>
          <w:szCs w:val="18"/>
          <w:lang w:val="en-US"/>
        </w:rPr>
        <w:t xml:space="preserve"> and </w:t>
      </w:r>
      <w:proofErr w:type="spellStart"/>
      <w:r w:rsidRPr="00DA455A">
        <w:rPr>
          <w:szCs w:val="18"/>
          <w:lang w:val="en-US"/>
        </w:rPr>
        <w:t>Ipê</w:t>
      </w:r>
      <w:proofErr w:type="spellEnd"/>
      <w:r w:rsidRPr="00DA455A">
        <w:rPr>
          <w:szCs w:val="18"/>
          <w:lang w:val="en-US"/>
        </w:rPr>
        <w:t>.</w:t>
      </w:r>
      <w:proofErr w:type="gramEnd"/>
    </w:p>
  </w:footnote>
  <w:footnote w:id="18">
    <w:p w:rsidR="00625722" w:rsidRPr="004A11BB" w:rsidRDefault="00625722" w:rsidP="00625722">
      <w:pPr>
        <w:pStyle w:val="Textodenotaderodap"/>
        <w:ind w:firstLine="0"/>
        <w:rPr>
          <w:lang w:val="en-US"/>
        </w:rPr>
      </w:pPr>
      <w:r>
        <w:rPr>
          <w:rStyle w:val="Refdenotaderodap"/>
        </w:rPr>
        <w:footnoteRef/>
      </w:r>
      <w:r>
        <w:t xml:space="preserve"> </w:t>
      </w:r>
      <w:proofErr w:type="spellStart"/>
      <w:proofErr w:type="gramStart"/>
      <w:r w:rsidRPr="004A11BB">
        <w:rPr>
          <w:lang w:val="en-US"/>
        </w:rPr>
        <w:t>Chame</w:t>
      </w:r>
      <w:proofErr w:type="spellEnd"/>
      <w:r w:rsidRPr="004A11BB">
        <w:rPr>
          <w:lang w:val="en-US"/>
        </w:rPr>
        <w:t>, M.</w:t>
      </w:r>
      <w:r>
        <w:rPr>
          <w:lang w:val="en-US"/>
        </w:rPr>
        <w:t xml:space="preserve"> (FIOCRUZ)</w:t>
      </w:r>
      <w:r w:rsidRPr="004A11BB">
        <w:rPr>
          <w:lang w:val="en-US"/>
        </w:rPr>
        <w:t>, 2014.</w:t>
      </w:r>
      <w:proofErr w:type="gramEnd"/>
      <w:r w:rsidRPr="004A11BB">
        <w:rPr>
          <w:lang w:val="en-US"/>
        </w:rPr>
        <w:t xml:space="preserve"> </w:t>
      </w:r>
      <w:proofErr w:type="gramStart"/>
      <w:r w:rsidRPr="004A11BB">
        <w:rPr>
          <w:lang w:val="en-US"/>
        </w:rPr>
        <w:t>Analysis of the working document.</w:t>
      </w:r>
      <w:proofErr w:type="gramEnd"/>
      <w:r w:rsidRPr="004A11BB">
        <w:rPr>
          <w:lang w:val="en-US"/>
        </w:rPr>
        <w:t xml:space="preserve"> </w:t>
      </w:r>
      <w:proofErr w:type="gramStart"/>
      <w:r>
        <w:t>Contribution to SBSTTA-18.</w:t>
      </w:r>
      <w:proofErr w:type="gramEnd"/>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5C4EF4"/>
    <w:multiLevelType w:val="hybridMultilevel"/>
    <w:tmpl w:val="3B0E15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722"/>
    <w:rsid w:val="001766F3"/>
    <w:rsid w:val="00180140"/>
    <w:rsid w:val="002E4D94"/>
    <w:rsid w:val="004B1D44"/>
    <w:rsid w:val="00625722"/>
    <w:rsid w:val="00A113E2"/>
    <w:rsid w:val="00D114C9"/>
    <w:rsid w:val="00DE33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72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fn,Geneva 9,Font: Geneva 9,Boston 10,f,ft,Fotnotstext Char,ft Char,single space,footnote text,FOOTNOTES,ADB,single space1,footnote text1,FOOTNOTES1,fn1,ADB1,single space2,footnote text2,FOOTNOTES2,fn2,ADB2,single space3,fn3"/>
    <w:basedOn w:val="Normal"/>
    <w:link w:val="TextodenotaderodapChar"/>
    <w:rsid w:val="00625722"/>
    <w:pPr>
      <w:keepLines/>
      <w:spacing w:after="60"/>
      <w:ind w:firstLine="720"/>
      <w:jc w:val="both"/>
    </w:pPr>
    <w:rPr>
      <w:rFonts w:ascii="Times New Roman" w:eastAsia="Times New Roman" w:hAnsi="Times New Roman" w:cs="Times New Roman"/>
      <w:sz w:val="18"/>
      <w:szCs w:val="24"/>
      <w:lang w:val="en-GB"/>
    </w:rPr>
  </w:style>
  <w:style w:type="character" w:customStyle="1" w:styleId="TextodenotaderodapChar">
    <w:name w:val="Texto de nota de rodapé Char"/>
    <w:aliases w:val="fn Char,Geneva 9 Char,Font: Geneva 9 Char,Boston 10 Char,f Char,ft Char1,Fotnotstext Char Char,ft Char Char,single space Char,footnote text Char,FOOTNOTES Char,ADB Char,single space1 Char,footnote text1 Char,FOOTNOTES1 Char"/>
    <w:basedOn w:val="Fontepargpadro"/>
    <w:link w:val="Textodenotaderodap"/>
    <w:rsid w:val="00625722"/>
    <w:rPr>
      <w:rFonts w:ascii="Times New Roman" w:eastAsia="Times New Roman" w:hAnsi="Times New Roman" w:cs="Times New Roman"/>
      <w:sz w:val="18"/>
      <w:szCs w:val="24"/>
      <w:lang w:val="en-GB"/>
    </w:rPr>
  </w:style>
  <w:style w:type="character" w:styleId="Refdenotaderodap">
    <w:name w:val="footnote reference"/>
    <w:basedOn w:val="Fontepargpadro"/>
    <w:uiPriority w:val="99"/>
    <w:semiHidden/>
    <w:rsid w:val="00625722"/>
    <w:rPr>
      <w:sz w:val="22"/>
      <w:u w:val="none"/>
      <w:vertAlign w:val="superscript"/>
    </w:rPr>
  </w:style>
  <w:style w:type="character" w:styleId="Hyperlink">
    <w:name w:val="Hyperlink"/>
    <w:basedOn w:val="Fontepargpadro"/>
    <w:uiPriority w:val="99"/>
    <w:unhideWhenUsed/>
    <w:rsid w:val="00625722"/>
    <w:rPr>
      <w:color w:val="0000FF" w:themeColor="hyperlink"/>
      <w:u w:val="single"/>
    </w:rPr>
  </w:style>
  <w:style w:type="table" w:styleId="Tabelacomgrade">
    <w:name w:val="Table Grid"/>
    <w:basedOn w:val="Tabelanormal"/>
    <w:uiPriority w:val="59"/>
    <w:rsid w:val="00625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625722"/>
    <w:rPr>
      <w:rFonts w:ascii="Tahoma" w:hAnsi="Tahoma" w:cs="Tahoma"/>
      <w:sz w:val="16"/>
      <w:szCs w:val="16"/>
    </w:rPr>
  </w:style>
  <w:style w:type="character" w:customStyle="1" w:styleId="TextodebaloChar">
    <w:name w:val="Texto de balão Char"/>
    <w:basedOn w:val="Fontepargpadro"/>
    <w:link w:val="Textodebalo"/>
    <w:uiPriority w:val="99"/>
    <w:semiHidden/>
    <w:rsid w:val="00625722"/>
    <w:rPr>
      <w:rFonts w:ascii="Tahoma" w:hAnsi="Tahoma" w:cs="Tahoma"/>
      <w:sz w:val="16"/>
      <w:szCs w:val="16"/>
    </w:rPr>
  </w:style>
  <w:style w:type="character" w:styleId="Forte">
    <w:name w:val="Strong"/>
    <w:uiPriority w:val="22"/>
    <w:qFormat/>
    <w:rsid w:val="00625722"/>
    <w:rPr>
      <w:rFonts w:ascii="Times New Roman" w:hAnsi="Times New Roman"/>
      <w:b/>
      <w:bCs/>
      <w:sz w:val="36"/>
    </w:rPr>
  </w:style>
  <w:style w:type="paragraph" w:styleId="PargrafodaLista">
    <w:name w:val="List Paragraph"/>
    <w:basedOn w:val="Normal"/>
    <w:uiPriority w:val="34"/>
    <w:qFormat/>
    <w:rsid w:val="00625722"/>
    <w:pPr>
      <w:ind w:left="720"/>
      <w:contextualSpacing/>
    </w:pPr>
  </w:style>
  <w:style w:type="paragraph" w:styleId="Cabealho">
    <w:name w:val="header"/>
    <w:basedOn w:val="Normal"/>
    <w:link w:val="CabealhoChar"/>
    <w:uiPriority w:val="99"/>
    <w:unhideWhenUsed/>
    <w:rsid w:val="004B1D44"/>
    <w:pPr>
      <w:tabs>
        <w:tab w:val="center" w:pos="4252"/>
        <w:tab w:val="right" w:pos="8504"/>
      </w:tabs>
    </w:pPr>
  </w:style>
  <w:style w:type="character" w:customStyle="1" w:styleId="CabealhoChar">
    <w:name w:val="Cabeçalho Char"/>
    <w:basedOn w:val="Fontepargpadro"/>
    <w:link w:val="Cabealho"/>
    <w:uiPriority w:val="99"/>
    <w:rsid w:val="004B1D44"/>
  </w:style>
  <w:style w:type="paragraph" w:styleId="Rodap">
    <w:name w:val="footer"/>
    <w:basedOn w:val="Normal"/>
    <w:link w:val="RodapChar"/>
    <w:uiPriority w:val="99"/>
    <w:unhideWhenUsed/>
    <w:rsid w:val="004B1D44"/>
    <w:pPr>
      <w:tabs>
        <w:tab w:val="center" w:pos="4252"/>
        <w:tab w:val="right" w:pos="8504"/>
      </w:tabs>
    </w:pPr>
  </w:style>
  <w:style w:type="character" w:customStyle="1" w:styleId="RodapChar">
    <w:name w:val="Rodapé Char"/>
    <w:basedOn w:val="Fontepargpadro"/>
    <w:link w:val="Rodap"/>
    <w:uiPriority w:val="99"/>
    <w:rsid w:val="004B1D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72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fn,Geneva 9,Font: Geneva 9,Boston 10,f,ft,Fotnotstext Char,ft Char,single space,footnote text,FOOTNOTES,ADB,single space1,footnote text1,FOOTNOTES1,fn1,ADB1,single space2,footnote text2,FOOTNOTES2,fn2,ADB2,single space3,fn3"/>
    <w:basedOn w:val="Normal"/>
    <w:link w:val="TextodenotaderodapChar"/>
    <w:rsid w:val="00625722"/>
    <w:pPr>
      <w:keepLines/>
      <w:spacing w:after="60"/>
      <w:ind w:firstLine="720"/>
      <w:jc w:val="both"/>
    </w:pPr>
    <w:rPr>
      <w:rFonts w:ascii="Times New Roman" w:eastAsia="Times New Roman" w:hAnsi="Times New Roman" w:cs="Times New Roman"/>
      <w:sz w:val="18"/>
      <w:szCs w:val="24"/>
      <w:lang w:val="en-GB"/>
    </w:rPr>
  </w:style>
  <w:style w:type="character" w:customStyle="1" w:styleId="TextodenotaderodapChar">
    <w:name w:val="Texto de nota de rodapé Char"/>
    <w:aliases w:val="fn Char,Geneva 9 Char,Font: Geneva 9 Char,Boston 10 Char,f Char,ft Char1,Fotnotstext Char Char,ft Char Char,single space Char,footnote text Char,FOOTNOTES Char,ADB Char,single space1 Char,footnote text1 Char,FOOTNOTES1 Char"/>
    <w:basedOn w:val="Fontepargpadro"/>
    <w:link w:val="Textodenotaderodap"/>
    <w:rsid w:val="00625722"/>
    <w:rPr>
      <w:rFonts w:ascii="Times New Roman" w:eastAsia="Times New Roman" w:hAnsi="Times New Roman" w:cs="Times New Roman"/>
      <w:sz w:val="18"/>
      <w:szCs w:val="24"/>
      <w:lang w:val="en-GB"/>
    </w:rPr>
  </w:style>
  <w:style w:type="character" w:styleId="Refdenotaderodap">
    <w:name w:val="footnote reference"/>
    <w:basedOn w:val="Fontepargpadro"/>
    <w:uiPriority w:val="99"/>
    <w:semiHidden/>
    <w:rsid w:val="00625722"/>
    <w:rPr>
      <w:sz w:val="22"/>
      <w:u w:val="none"/>
      <w:vertAlign w:val="superscript"/>
    </w:rPr>
  </w:style>
  <w:style w:type="character" w:styleId="Hyperlink">
    <w:name w:val="Hyperlink"/>
    <w:basedOn w:val="Fontepargpadro"/>
    <w:uiPriority w:val="99"/>
    <w:unhideWhenUsed/>
    <w:rsid w:val="00625722"/>
    <w:rPr>
      <w:color w:val="0000FF" w:themeColor="hyperlink"/>
      <w:u w:val="single"/>
    </w:rPr>
  </w:style>
  <w:style w:type="table" w:styleId="Tabelacomgrade">
    <w:name w:val="Table Grid"/>
    <w:basedOn w:val="Tabelanormal"/>
    <w:uiPriority w:val="59"/>
    <w:rsid w:val="00625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625722"/>
    <w:rPr>
      <w:rFonts w:ascii="Tahoma" w:hAnsi="Tahoma" w:cs="Tahoma"/>
      <w:sz w:val="16"/>
      <w:szCs w:val="16"/>
    </w:rPr>
  </w:style>
  <w:style w:type="character" w:customStyle="1" w:styleId="TextodebaloChar">
    <w:name w:val="Texto de balão Char"/>
    <w:basedOn w:val="Fontepargpadro"/>
    <w:link w:val="Textodebalo"/>
    <w:uiPriority w:val="99"/>
    <w:semiHidden/>
    <w:rsid w:val="00625722"/>
    <w:rPr>
      <w:rFonts w:ascii="Tahoma" w:hAnsi="Tahoma" w:cs="Tahoma"/>
      <w:sz w:val="16"/>
      <w:szCs w:val="16"/>
    </w:rPr>
  </w:style>
  <w:style w:type="character" w:styleId="Forte">
    <w:name w:val="Strong"/>
    <w:uiPriority w:val="22"/>
    <w:qFormat/>
    <w:rsid w:val="00625722"/>
    <w:rPr>
      <w:rFonts w:ascii="Times New Roman" w:hAnsi="Times New Roman"/>
      <w:b/>
      <w:bCs/>
      <w:sz w:val="36"/>
    </w:rPr>
  </w:style>
  <w:style w:type="paragraph" w:styleId="PargrafodaLista">
    <w:name w:val="List Paragraph"/>
    <w:basedOn w:val="Normal"/>
    <w:uiPriority w:val="34"/>
    <w:qFormat/>
    <w:rsid w:val="00625722"/>
    <w:pPr>
      <w:ind w:left="720"/>
      <w:contextualSpacing/>
    </w:pPr>
  </w:style>
  <w:style w:type="paragraph" w:styleId="Cabealho">
    <w:name w:val="header"/>
    <w:basedOn w:val="Normal"/>
    <w:link w:val="CabealhoChar"/>
    <w:uiPriority w:val="99"/>
    <w:unhideWhenUsed/>
    <w:rsid w:val="004B1D44"/>
    <w:pPr>
      <w:tabs>
        <w:tab w:val="center" w:pos="4252"/>
        <w:tab w:val="right" w:pos="8504"/>
      </w:tabs>
    </w:pPr>
  </w:style>
  <w:style w:type="character" w:customStyle="1" w:styleId="CabealhoChar">
    <w:name w:val="Cabeçalho Char"/>
    <w:basedOn w:val="Fontepargpadro"/>
    <w:link w:val="Cabealho"/>
    <w:uiPriority w:val="99"/>
    <w:rsid w:val="004B1D44"/>
  </w:style>
  <w:style w:type="paragraph" w:styleId="Rodap">
    <w:name w:val="footer"/>
    <w:basedOn w:val="Normal"/>
    <w:link w:val="RodapChar"/>
    <w:uiPriority w:val="99"/>
    <w:unhideWhenUsed/>
    <w:rsid w:val="004B1D44"/>
    <w:pPr>
      <w:tabs>
        <w:tab w:val="center" w:pos="4252"/>
        <w:tab w:val="right" w:pos="8504"/>
      </w:tabs>
    </w:pPr>
  </w:style>
  <w:style w:type="character" w:customStyle="1" w:styleId="RodapChar">
    <w:name w:val="Rodapé Char"/>
    <w:basedOn w:val="Fontepargpadro"/>
    <w:link w:val="Rodap"/>
    <w:uiPriority w:val="99"/>
    <w:rsid w:val="004B1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a.org.br/ypade"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onsumosustentavel.gov.br/" TargetMode="External"/><Relationship Id="rId2" Type="http://schemas.openxmlformats.org/officeDocument/2006/relationships/hyperlink" Target="http://www.consumosustentavel.gov.br/" TargetMode="External"/><Relationship Id="rId1" Type="http://schemas.openxmlformats.org/officeDocument/2006/relationships/hyperlink" Target="http://ethicalbiotrade.org/biodiversity-barometer" TargetMode="External"/><Relationship Id="rId4" Type="http://schemas.openxmlformats.org/officeDocument/2006/relationships/hyperlink" Target="http://mebbrasil.org.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11029</Words>
  <Characters>59557</Characters>
  <Application>Microsoft Office Word</Application>
  <DocSecurity>0</DocSecurity>
  <Lines>496</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 Velloso</dc:creator>
  <cp:lastModifiedBy>Agnes Velloso</cp:lastModifiedBy>
  <cp:revision>5</cp:revision>
  <dcterms:created xsi:type="dcterms:W3CDTF">2014-07-10T00:48:00Z</dcterms:created>
  <dcterms:modified xsi:type="dcterms:W3CDTF">2014-07-10T01:01:00Z</dcterms:modified>
</cp:coreProperties>
</file>